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p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>
        <w:rPr>
          <w:rFonts w:ascii="PT Astra Serif" w:hAnsi="PT Astra Serif" w:cs="Times New Roman"/>
          <w:b/>
          <w:sz w:val="28"/>
          <w:szCs w:val="28"/>
        </w:rPr>
        <w:t xml:space="preserve">РЕГИОНАЛЬНЫХ 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ЛЬГОТ И МЕР СОЦИАЛЬНОЙ ПОДДЕРЖКИ, ПРЕДОСТАВЛЯЕМЫХ НА ТЕРРИТОРИИ </w:t>
      </w:r>
      <w:r>
        <w:rPr>
          <w:rFonts w:ascii="PT Astra Serif" w:hAnsi="PT Astra Serif" w:cs="Times New Roman"/>
          <w:b/>
          <w:sz w:val="28"/>
          <w:szCs w:val="28"/>
        </w:rPr>
        <w:t xml:space="preserve">УДМУРТСК</w:t>
      </w:r>
      <w:r>
        <w:rPr>
          <w:rFonts w:ascii="PT Astra Serif" w:hAnsi="PT Astra Serif" w:cs="Times New Roman"/>
          <w:b/>
          <w:sz w:val="28"/>
          <w:szCs w:val="28"/>
        </w:rPr>
        <w:t xml:space="preserve">ОЙ</w:t>
      </w:r>
      <w:r>
        <w:rPr>
          <w:rFonts w:ascii="PT Astra Serif" w:hAnsi="PT Astra Serif" w:cs="Times New Roman"/>
          <w:b/>
          <w:sz w:val="28"/>
          <w:szCs w:val="28"/>
        </w:rPr>
        <w:t xml:space="preserve"> РЕСПУБЛИКИ ВОЕННОСЛУЖАЩИМ</w:t>
      </w:r>
      <w:r>
        <w:rPr>
          <w:rFonts w:ascii="PT Astra Serif" w:hAnsi="PT Astra Serif" w:cs="Times New Roman"/>
          <w:b/>
          <w:sz w:val="28"/>
          <w:szCs w:val="28"/>
        </w:rPr>
        <w:t xml:space="preserve"> И ЧЛЕНАМ ИХ СЕМЕЙ</w:t>
      </w:r>
      <w:r>
        <w:rPr>
          <w:rFonts w:ascii="PT Astra Serif" w:hAnsi="PT Astra Serif" w:cs="Times New Roman"/>
          <w:b/>
          <w:sz w:val="28"/>
          <w:szCs w:val="28"/>
        </w:rPr>
      </w:r>
      <w:r>
        <w:rPr>
          <w:rFonts w:ascii="PT Astra Serif" w:hAnsi="PT Astra Serif" w:cs="Times New Roman"/>
          <w:b/>
          <w:sz w:val="28"/>
          <w:szCs w:val="28"/>
        </w:rPr>
      </w:r>
    </w:p>
    <w:tbl>
      <w:tblPr>
        <w:tblStyle w:val="856"/>
        <w:tblW w:w="15310" w:type="dxa"/>
        <w:tblInd w:w="-176" w:type="dxa"/>
        <w:tblLook w:val="04A0" w:firstRow="1" w:lastRow="0" w:firstColumn="1" w:lastColumn="0" w:noHBand="0" w:noVBand="1"/>
      </w:tblPr>
      <w:tblGrid>
        <w:gridCol w:w="8789"/>
        <w:gridCol w:w="6521"/>
      </w:tblGrid>
      <w:tr>
        <w:tblPrEx/>
        <w:trPr/>
        <w:tc>
          <w:tcPr>
            <w:tcW w:w="87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равовые акты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, которыми установлены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льготы и меры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53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  <w:t xml:space="preserve">Региональные льготы</w:t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Налоговые льготы по транспортному налогу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боевых действий, которым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оказываются меры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социальной поддержки в соответствии с Федеральным </w:t>
            </w:r>
            <w:hyperlink r:id="rId11" w:tooltip="consultantplus://offline/ref=1EE389C0AF8615065B1E2472540ECC8A700EF6FA5D729F072EA2E16D4D64253412920D5D5DB45384714C6D4180u733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освобождаются от уплаты налога по одному транспортному средству, мощность двигателя которого не превышает 150 лошадиных сил (110,33 кВт) включительно.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которым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оказываются меры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социальной поддержки в соответствии с Федеральным </w:t>
            </w:r>
            <w:hyperlink r:id="rId12" w:tooltip="consultantplus://offline/ref=EDDF35E53AD3E6D94F461CE2F5582A0DD0639624D18203DF51DED4050904C0AE1E128A0465D50825B9EF200FD9E54EI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законом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ветеранах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уплачивают транспортный налог по одному транспортному средству, мощность двигателя которого не превышает 150 лошадиных сил (110,33 кВт), по ставке 50 процентов от размера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соответствующей ставки налога.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27.11.2002 № 63-РЗ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транспортном налоге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Право на получение бесплатной юридической помощи в рамках государственной системы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Предусмотрено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следующих категорий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получение всех видо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рамках государственной систем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ы бесплатной юридической помощи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3" w:tooltip="consultantplus://offline/ref=DB357B178F0A84F0F26746C6CE32720557A4B1B4E3DFA5615A1813E55B07A5C4A043B2B95B6966416E79F7FB566F9583BE5CD59E78D8AD12iDyDH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пункте 6 статьи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 мая 1996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61-ФЗ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обороне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Республики, Запорожской области и Херсонской области и (и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отражению вооруженного вторжения 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 условии их участия в специальной военной операции на указанных территориях, а также члены семей указанных граждан;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также члены семей указанных лиц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17.12.2012 № 70-РЗ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«Об оказании бесплатной юридической помощи в Удмуртской Республике» (в редакции Закон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07.07.2023 № 67-РЗ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04.06.2024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28-РЗ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Пониженная налоговая ставка при применении упрощенной системы налогообложения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2025 - 2030 годах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установлена 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алогов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ставк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размере 1 процента в случае, если объектом налогообложения являются доходы, и налогов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ставк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размере 5 процентов в случае, если объектом налогообложения являются доходы, уменьшенные на величину расходов, для следующих налогоплательщиков,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применяющих упрощенную систему налогообложения: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индивидуальных предпринимателей, принимающих (принимавших)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индивидуальных предпринимателей, являющихся членами семей граждан, принимающих (принимавших) участие в специальной военной операции, в том числе погибших (умерших) в связи с выполнением задач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организаций, доля (суммарная доля) участия в уставном (складочном, акционерном) капитале которых одного или нескольких физических лиц, принимающих (п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ринимавших) участие в специальной военной операции, и (или) физических лиц, являющихся членами семьи граждан, принимающих (принимавших) участие в специальной военной операции, в том числе погибших (умерших) в связи с выполнением задач специальной военной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перации, превышает 50 процентов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29.11.2017 № 66-РЗ «Об установлении налоговых ставок налогоплательщикам при применении упрощенной системы налогообложения» (в редакции Закона Удмуртской Республики от 26.12.2024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80-РЗ)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земельных участков из земель, находящихся в государственной или муниципальной собственности, расположенных на территории Удмуртской Республики, для индивидуального жилищного строительства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собственность бесплатно для индивидуального жилищного строительства земельных участков из земель, находящихся в государственной или муниципальной собственности, расположенных на территории Удмуртской Республики</w:t>
            </w:r>
            <w:bookmarkStart w:id="0" w:name="Par0"/>
            <w:r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военнослужащим, лицам, заключившим контракт о пребывании в добровольческом формиров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 или награжденным орденом (орденами) Российской Федерации за заслуги,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роявленные при выполнении задач в ходе специальной военной операции, членам семей указанных лиц и лиц, погибших (умерших) вследствие увечья (ранения, травмы, контузии) или заболевания, полученных ими при выполнении задач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Закон Удмуртской Республики от 17.07.2023 № 68-РЗ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бесплатном предостав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Закона Удмуртской Республики от 26.12.2024 № 85-РЗ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Профессиональное обучение и дополнительное профессиональное образование, содействие в поиске работы, а также содействие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безработных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целях социальной поддержки член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(далее – Указ № 647)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заключивших по направлению федерального казенного учреждения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Военный комиссариат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следующие дополнительные меры социальной поддержки: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в поиске работы;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самозанятости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безработных членов семей, включая предоставление в ускоренном порядке единовременной финансовой помощи на открытие собственного дела;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содействие членам семей в оформлении социальных и иных вы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плат, мер социальной поддержки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25.11.2022 № 315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поддержки членов семей граждан Российской Федерации, призванных на военную службу по мобилизации в Вооруженные Силы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гражданам Российской Федерации,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мобилизации, - на период прохождения ими военной службы;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гражданам, проходящим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в Вооруженных Силах Российской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Федерации по контракту, гражданам, проходящим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61-ФЗ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обороне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Республики, Херсонской области и Запорожской области - на период их участия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гражданам, 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 задач, возложенных на Вооруженные Силы Российской Федерации или войска национальной гвардии Российской Федерации, в период мобилизации, в период действия военного положения, в военное вр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Федерации, войск национальной гвардии Российской Федерации за пределами территории Российской Федерации, - на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период действия указанного контракта;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4) гражданам, проходящим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Херсонской области, а также обеспечивающи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5) совместно проживающим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гражданами, указанными в подпунктах 1 - 4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супругам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дет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родител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а также други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 родственникам, нетрудоспособным иждивенцам и иным гражданам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признанны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 членами семьи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- на период, установленный для граждан, указанных в подпунктах 1 - 4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25.11.2022 № 316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освобождения граждан, указанных в пунктах 1 - 5 части 1 статьи 9.1 Федерального закона от 14 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рта 2022 года № 58-ФЗ «О внесении изменений в отдельные законодательные акты Российской Федерации»,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имущества в многоквартирном доме,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жилищным законодательством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Указа Главы Удмуртской Республики от 07.03.2025 № 63)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47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образования, предоставляется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призванным на военную службу по мобилизации в Вооруженные Силы Российской Федерации в соответствии с Указом № 647;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24 февраля 2022 года контракт о поступлении на военную службу по контракту и принимающих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4) заключившим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поступлении на военную службу по контракту, продолжающему свое действие до окончания периода частичной мобилизации, в соответствии с пунктом 4 Указа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и принимающим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5) ветеранам боевых действий и принимавших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командированны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зону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7) родителям (законным представителям), указанным в пунктах 1-6, получивших увечья (ранения, травмы, контузии) или заболевания;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8) родителям (законным представителям)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гибели (смерти) одного из родителей (законных представителей), указанных в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пунктах 1-6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16.02.2023 № 26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реализующей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28.11.2023 № 299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31.05.2024 № 142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08.10.2024 № 293, от 22.01.2025 № 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Бесплатное предоставление социальных услуг в форме социального обслуживания на дому, а также в полустационарной и стационарной форме социального обслуживания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оциальны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услуг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форме социального обслуживания на дому, а также в полустационарной и стационарной форме социального обслуживания в социально-реабилитационном центре для граждан пожилого возраста и инвалидов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бесплатно следующим категориям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признанным нуждающимися в соци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силу заболевания, травмы, возраста или наличия инвалидности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гражданам,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призванным на военную службу по мобилизации или поступившим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задач, возложенных на Вооруженные Силы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70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членам семьи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призванных на военную службу по мобилизации или поступивших в добровольческие формирования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– на период прохождения военной службы по мобилизации или на период действия контракт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 о добровольном содействии в выполнении задач, возложенных на Вооруженные Силы Российской Федерации,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выполнении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29.06.2023 № 154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«О дополнительных мерах социальной поддержки граждан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Федерации, а также членов их семей»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диновременн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денежн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выплат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в размере 400 тыс. рублей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Единовременная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денежная выплата в размере 400 тыс. рублей предоставляется гражданам Российской Федерации, призванным на военную службу по мобилизации в Вооруженные Силы Российской Федерации, в том числе направленным в войска национальной гвардии Российской Федерации для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прохождения военной службы,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образовательных организаций высшего образования, находя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щихся в ведении Министерства обороны Российской Федерации), военнослужащим, проходившим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Федерации), иным гражданам Российской Федерации и иностранным гражданам, которые заключили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период с 1 августа 2024 года по 31 декабря 2025 года контракт о прохождении военной службы в Вооруженных Силах Российской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Федерации,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06.08.2024 № 222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редакции Указов Главы Удмуртской Республики от 16.01.2025 № 5, от 04.03.2025       № 54)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бесплатн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горяч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его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питани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я обучающим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ся в период их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обучения по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образовательным программам основного общего образования, образовательным программам среднего общего образования в государственных образовательных организациях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tabs>
                <w:tab w:val="left" w:pos="498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Обеспеч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бесплатным горячим питанием обучающихся в период их обучения по образовательным прогр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аммам основного общего образования, образовательным программам среднего общего образования в государственных образовательных организациях Удмуртской Республики (один раз в учебный день) в случае гибели (смерти) одного из родителей (законных представителей)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(или) супруги (супруга) опекуна (попечителя) несовершеннолетнего обучающегося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Российской Федерации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от 23.09.2024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260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дополнительной мере социальной поддержки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 службу по контракту, заключенному в соответствии с пунктом 7 статьи 38 Федерального закона от 28 марта 1998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Указа Главы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29.11.2024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353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Единовременная денежная выплата в размере 400 тыс. рублей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Единовременная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денежная выплата в размере 400 тыс. рублей предоставляется следующим категориям граждан, заключившим контракт о прохождении военной службы в Вооруженных Силах Российской Федерации сроком на один год и более в период проведения специальной военной операции: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анизаций высшего образования, находящихся в ведении Министерства обороны Российской Федерации), призванным через Военный комиссариат Удмуртской Республики, которые в период с 1 января по 31 декабря 2025 года заключили контракт о прохождении военной службы;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2) гражданам, добровольно поступившим на военную службу по контракту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через пункт отбора на военную службу по контракту (2 разряда) города Ижевска в период с 1 января по 31 декабря 2025 года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Удмуртской Республики от 04.03.2025 № 55 «О единовременной денежной выплате военнослужащим, проходящим военную службу по контракту в Вооруженных Силах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Приостановление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исполнения обязательств по соглашениям о предоставлении грантов в форме субсидий из бюджета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продления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сроков достижения результатов предоставления грантов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601"/>
              <w:jc w:val="both"/>
              <w:tabs>
                <w:tab w:val="left" w:pos="563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(или) в случае невозможности достижения результата предоставления гранта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по согласованию с Министерством экономики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28.07.2021 № 382 «Об утвер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ждении Порядка предоставления грантов 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постановлений Правительства Удмуртской Республики от 20.09.2021 № 498, от 28.07.2022 № 394, от 26.12.2022 № 766, от 24.04.2023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262, от 12.07.2023 № 457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09.09.2024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476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>
          <w:trHeight w:val="867"/>
        </w:trPr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Материальная помощь в размере 1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000 000 руб.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отдельным категориям граждан, оказавшимся в трудной жизненной ситуации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связи с гибелью (смертью)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результате выполнения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специальных задач в ходе проведения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проводимой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либо смертью вследствие увечья (ранения, травмы, контузии),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 результате непосредственного выполнения задач 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охране гос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ударственной границы Российской Федерации на участках, примыкающих к районам проведения специальной военной операции, либо в результате выполнения задач по отражению вооруженного вторжения на территорию Курской области подразделений Вооруженных Сил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членов их семей,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являвшихся участника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из числа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лиц, проходящих службу в войсках национальной гвардии Российской Федерации и имеющих специальное звание полиции;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ходе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.09.2022 </w:t>
            </w:r>
            <w:hyperlink r:id="rId14" w:tooltip="consultantplus://offline/ref=4C9CAA8BDCDC7A8515C87DCBB6BBAD26F6877D07748E120F69876EF4578A057316F838865DFE06C7620A41B8F0F3F767C23B1D7F826FEDAC565041C1d9a6E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18.01.2024 № 13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03.07.2024 № 345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11.11.2024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586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24.12.2024 № 707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spacing w:after="167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Материальная помощь в размере 500 000 руб.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Материальная помощь предоставляется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имеющим место жительства на территории Удмуртской Республики на день получения увечья (ранения, травмы, контузии)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отдельным категориям граждан, получившим увечье (ранение, травму, контузию) при выполнении специальных задач в ходе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специальной военной операции, проводимой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или в ходе непосредственного выполнения задач 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охране государс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твенной границы Российской Федерации на участках, примыкающих к районам проведения специальной военной операции, либо в ходе выполнения задач по отражению вооруженного вторжения на территорию Курской области подразделений Вооруженных Сил Украины, из числа: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военнослужащих, лиц, проходящих службу в войсках национальной гвардии Российской Федерации и имеющих специальное звание полиции;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22.06.2022 № 323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оказания материальной помощи военнослужащим и отдельным лиц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ам, получившим увечье (ранение, травму, контузию) при выполнении специальных задач в ходе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 ходе непосредственного выполнения задач по охране государственной границы Российской Федерации на участках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примыкающих к районам проведения специальной военной операции, либо в ходе выполнения задач по отражению вооруженного вторжения на территорию Курской области подразделений Вооруженных Сил Украины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color w:val="392c6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14.09.2022 </w:t>
            </w:r>
            <w:hyperlink r:id="rId15" w:tooltip="consultantplus://offline/ref=8B3A21E1BB280D18F725E8E0EE37E51DBFA5BCCA90543704EBF94C8F1B0DC7F3BAE670A0A9D5B5059F5033AEFA0CC0A29EE5ED4403C504F710AC9468RAC0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№ 485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01.09.2023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588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25.06.2024 № 323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14.02.2025 № 67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  <w:t xml:space="preserve"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Установлено, что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доходы и суммы единовременной матер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</w:t>
            </w:r>
            <w:hyperlink r:id="rId16" w:tooltip="consultantplus://offline/ref=6342A5A6EDF32DD749AFBB8E214EA05814B10C6720EAAD6C162DDFBA2E7A59CED01669A1E71CD81E390F1FA7E51CD7A0CADB2AF50FB3E063N9SE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647,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не учитываются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при расчете среднедушевого дохода семьи и дохода одиноко проживающего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гражданина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следующих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мер социальной поддержки: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оказание го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сударственной социальной помощи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, в том числе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 основании социального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контракта;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назначение ежемесячной денежной выплаты нуждающимся в поддержке семьям при рождении в семье третьего и последующих детей, установленной </w:t>
            </w:r>
            <w:hyperlink r:id="rId17" w:tooltip="consultantplus://offline/ref=99306EFB6D1C095A8B3032AF900EBCB930DADDCCE9575F37F5D6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Главы Удмуртской Республики от 21 ноября 2017 года № 368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установлении ежемесячной денежной выплаты нуждающимся в поддержке семьям при рождении в семье после 31 декабря 2017 года третьего и последующих детей», </w:t>
            </w:r>
            <w:hyperlink r:id="rId18" w:tooltip="consultantplus://offline/ref=99306EFB6D1C095A8B3032AF900EBCB930DADDCCE9575334F9D784EE9B26658D7921B115224A0CF6B4833A6CF67EC03239N4mCF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постановлением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 от 5 февраля 2018 года № 26 «Об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утверждении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предоставления ежемесячной денежной выплаты нуждающимся в поддержке семьям при рождении в семье третьего и последующих детей»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19.12.2022 № 72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редакции постановления Правительства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от 27.01.2025 № 24)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Внеочередное оказание медицинской помощи в медицинских организациях, находящихся на территории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 и 2027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годов имеют: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инвалиды войны;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ветераны боевых действий, включая ветеранов боевых действий,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уволенным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военной службы (службы, работы);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лица, принимавшие в соответствии с решениями органов публичной власти Донецкой Народной Республики, Луганской Народной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погибших (умерших) инвалидов войны и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8.12.2024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719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«О Территориальной программе государственных гарантий бесплатного оказания гражданам медицинской помощи на территории Удмуртской Республики на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годов»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green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субсидий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на покупку и установку газоиспользующего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оборудования,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убсиди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 покупку и установку газоиспользующего оборудования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Удмуртской Республике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предоставляются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 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размере планируемых затрат, но не более 100000 рублей, однократно в отношении одного домовладения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отдельным категориям граждан, проживающих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Удм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уртской Республики, в том числе,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участниками специальной военной операции, членами семей участников специальной военной операции, инвалидами боевых действий, ветеранами боевых действий, членами семей погибших (умерших) инвалидов боевых действий, ветеранов боевых действий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07.03.2024 № 110 «О предоставлении в 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 2025 годах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субсидий льготным категориям граждан, проживающих на территории Удмуртской Республики, на покупку и установку газоиспользующего оборудования, проведение работ при социальной газификации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догазификации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18.04.2024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225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06.08.2024 № 414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24.03.2025 № 152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Социальная выплата на приобретение жилого помещения или создание объекта индивидуального жилищного строительства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Преимущественное право на включение в список молодых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семей - участников мероприятия по обеспечению жильем молодых семей предоставляется молодым многодетным скамьям и молодым семьям, в которых один или оба супруга либо один родитель в неполной семье принимают (принимали) участие 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16.11.2009 № 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29 «О мерах по реализации в Удмуртской Республике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редакции постановления Правительства Удмуртской Республики от 15.01.2025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 во временное пользование предметов первой необходимости для новорожденных детей (ребенка)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Семье (либо одинокому родителю), один из членов которой принимает (принимал) участие в специальной военной операции или выполняет (выполнял) возложенные на него задачи на территориях Украины,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 предоставляются во временное пользование предметы первой необходимости для новорожденных детей (ребенка)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20.12.2024 № 698 «О создании пунктов проката предметов первой необходимости для новорожденных детей в отдельных категориях семей Удмуртской Республики»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рганизации кратковременного присмотра и ухода за детьми до 3 лет в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организациях социального обслуживания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Семья (либо единственный родитель (усыновитель)), один из членов которой принимает (принимал) участие в специ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альной военной операции или выполняет (выполнял) возложенные на него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 имеет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право на получение услуг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«Кратковременный присмотр и уход за детьми до 3 лет в организациях социального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обслуживания», «Социальная няня»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20.12.2024 № 693 «Об утверждении Положения об организации кратковременного присмотра и ухода за детьми до 3 лет в организациях социального обслуживания, а также на дому – «Социальная няня» для отдельных категорий семей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ополнительн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 мера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социальной поддержки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 виде безвозмездного обеспечения твердым топливом (дровами) на отопление жилого помещения (домовладения) с печным отоплением в объеме 5 куб. м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Безвозмездное обеспечение твердым топливом (дровами) на отопление жилого помещения (домовладения) с печным отоплением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предоставляется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член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семей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(супругу (супруге), родителям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(в том числе усыновител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ям, опекунам, попечителям, приемным родителям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из числа: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призванны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 военную службу по мобилизации в Вооруженные Силы Российской Федерации в соответствии с Указом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заключивших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заклю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чивших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 24 февраля 2022 года контракт о поступлении на военную службу по контракту и принимающий участие в специальной военной операции;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left="-108" w:right="-108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контракт о поступлении на военную службу по контракту, продолжающему свое действие до окончания периода частичной мобилизации в соответствии с пунктом 4 Указа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Правительства Удмуртской Республики от 28.03.2025 № 174 «О дополнительной мере социальной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поддержки членов семей участников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виде безвозмездного обеспечения твердым топливом (дровами) на отопление жилых помещений (домовладений)»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тсрочк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уплаты арендных платежей по договорам аренды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расторжение договор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аренды без применения штрафных санкций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left="34" w:firstLine="709"/>
              <w:jc w:val="both"/>
              <w:tabs>
                <w:tab w:val="left" w:pos="76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тсрочка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уплаты арендных платежей по договорам аренды имущества, находящегося в собственности Удмуртской Республики, договорам аренды земельных участков, находящихся в соб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ственности 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возможность расторжения таких договоров аренды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без применения штрафных санкций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арендаторам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являющимся физическими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том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числе индивидуальны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юридически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лица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в которых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одно и то же физическое лицо является единственным учредителем (участником) юридического лица и его руководителем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случае если указанные физические лица, в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или проходят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заключили контракт 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добровольном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содействии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выполнении задач, возложенных на Вооруженные Силы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распоряжени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Правительства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28.02.2023 № 114-р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10.01.2025 № 4-р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Предоставление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путевок (направлений)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(направлени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предоставляются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во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внеочередном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погибших (умерших) при выполнении задач в ход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 проведения специальной военной операции на территориях Украины, Донецкой Народной Республики и Луганской Народной Республики, Запорожской и Херсонской областей (далее - СВО) либо позднее указанного периода, но вследствие увечья (ранения, травмы, контузии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или заболевания, полученных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путевки (направления) в организации отдыха детей и их оздоровления для детей, находящихся в трудной жизненной ситуации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доставляются 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первоочередном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порядке: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военнослужащих, граждан, пребывавших (пребыва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ющих) в добровольческих формированиях, и лиц, проходивших (проходящих) службу в войсках национальной гвардии Российской Федерации и имеющих специальное звание полиции, получивших увечья (ранения, травмы, контузии) при выполнении задач в ходе проведения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детям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граждан, призванных на военную службу по мобилизации в Вооруженные Силы Российской Федерации, пребывающих в добровольческих формированиях, которые выполняют задачи 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ab/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 ситуации» (в редакции приказ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Министерст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ва социальной политики и труда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27.10.2022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195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10.06.2024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90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Организации медицинской помощи участникам специальной военной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Организован «Центр психологической помощи участникам специальной военной операции и членам их семей» на функциональной основе на базе бюджетного учреждения здравоо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хранения Удмуртской Республики «Республиканский клинический центр психического здоровья Министерства здравоохранения Удмуртской Республики», обеспечена приоритетность при оказании медицинской помощи участникам специальной военной операции и членам их семей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Республики от 28.10.2022 № 1634 «Об организации медицинской помощи участникам специальной военной операции и членам их семей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Освобождение от платы, взимаемой с родителей (законных представителей)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платы, взимаемой с родителей (законных пре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дставителей) за присмотр и уход за детьми в образовательной организации, реализующей образовательную программу дошкольного образования в бюджетном общеобразовательном учреждении Удмуртской Республики «Удмуртская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освобождаются: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родители (законные представители), призванные на военную службу по мобилизации в Вооруженные Силы Российской Федерации в соответствии с </w:t>
            </w:r>
            <w:hyperlink r:id="rId19" w:tooltip="https://login.consultant.ru/link/?req=doc&amp;base=LAW&amp;n=426999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Указом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647 или проходящие военную службу по контракту, заключенному в соответствии с </w:t>
            </w:r>
            <w:hyperlink r:id="rId20" w:tooltip="https://login.consultant.ru/link/?req=doc&amp;base=LAW&amp;n=472846&amp;dst=1187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пунктом 7 статьи 38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№ 53-ФЗ, либо заключившие контракт о добровольном содействии в выполнении задач, возложенных на Вооруж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енные Силы Российской Федерации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или войска национальной гвардии Российской Федерации,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 также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второй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 родители (законные представители), указанные в </w:t>
            </w:r>
            <w:hyperlink w:tooltip="#Par0" w:anchor="Par0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подпункт</w:t>
              </w:r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е</w:t>
              </w:r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 1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tabs>
                <w:tab w:val="left" w:pos="672" w:leader="none"/>
                <w:tab w:val="left" w:pos="882" w:leader="none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родитель (законный представитель), близкий родственник ребенка в случае гибели (смерти) одного из родителей (законных представит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елей), указанных в подпункте 1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риказ Министерства образования и науки Удмуртской Республики от 16.02.2023 № 241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Порядка обращения за освобождение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 от платы, взимаемой с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647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проходящих военную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службу по контракту, заключенному в соответствии с пунктом 7 статьи 38 Федерального закона от 28 марта 1998 года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 воинской обязанности и военной службе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либо заключивших контракт о добровольном сод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ействии в выполнении задач, возложенных на Вооруженные Силы Российской Федерации или войска национальной гвардии Российской Федерации, за присмотр и уход за детьми в образовательной организации, реализующей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бюджетном общеобразовательном учреждении Удмуртской Республики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Удмуртская государственная национальная гимназия имени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Кузебая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Герда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приказ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Министерства образования и науки Удмуртской Республики от 18.01.2024 № 053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24.06.2024 № 856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11.11.2024 N 1682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Организация оказания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специализированной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медико-санитарной 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помощи ветеранам войн.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ind w:firstLine="743"/>
              <w:jc w:val="both"/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Определить бюджетное учреждение здравоохранения Удмуртской Республики «К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онсультативно-диагностический центр Министерства здравоохранения Удмуртской Республики» (БУЗ УР «КДЦ МЗ Удмуртской Республики) определено медицинской организацией, оказывающей первичную специализированную медико-санитарную помощь ветеранам войн. Утвержден </w:t>
            </w:r>
            <w:hyperlink r:id="rId21" w:tooltip="https://login.consultant.ru/link/?req=doc&amp;base=RLAW053&amp;n=147469&amp;dst=100016" w:history="1">
              <w:r>
                <w:rPr>
                  <w:rFonts w:ascii="PT Astra Serif" w:hAnsi="PT Astra Serif" w:cs="Times New Roman"/>
                  <w:sz w:val="24"/>
                  <w:szCs w:val="24"/>
                </w:rPr>
                <w:t xml:space="preserve">Порядок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направления участников боевых действий, ветеранов войн и приравненных к ним лиц в БУЗ УР «КДЦ МЗ Удмуртской Республики» с целью оказания консультативной помощи</w:t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распоряжение Министерства здравоохранения Удмуртской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от 19.05.2023 № 0797 «О совершенствовании оказания медицинской помощи участникам боевых действий, ветеранам войн и приравненным к ним лицам в Удмуртской Республике»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Д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ополнительн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мер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а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социальной поддержки в части предоставления бесплатного горячего питания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горячее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питание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обучающимся в период их обучения по образовательным программам основного общего образования, образовательным программам среднего общего образования в государственных и муниципальных образовательных организациях Удмуртской Республики  пр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едоставляется в случае гибели (смерти) одного из родителей (законных представителей),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647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или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проходящих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53-ФЗ,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образования и науки Удмуртской Республики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30.09.2024 №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1364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Типового порядка обращения родителей (законных представителей) обучающихся по образовательным программам основного общего образования, образовательным программам среднего общего образования в образова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тельных организациях, расположенных на территории Удмуртской Республики, в случае гибели (смерти) одного из родителей (законных представителей) и (или) супруги (супруга) опекуна (попечителя) несовершеннолетнего обучающегося, призванных на военную службу 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йской Федерации» или проходивших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выполнении задач, возложенных на Воо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руженные Силы Российской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специальной военной операции, за предоставлением дополнительной меры социальной поддержки в части предоставления бесплатного горячего питания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при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казов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Министерства образования и науки Удмуртской Республики от</w:t>
            </w:r>
            <w: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18.11.2024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№ 1759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от 19.12.2024 № 2001,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от 07.03.2025 № 194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Участие в региональной программе обучения для ветеранов и участников специальной военной операции «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СВОй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резерв 18»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Участвовать в региональной программе обучения с целью подготовки высококвалифицированных, компетентных управленцев из числа участников и ветеранов специальной военной операции для последующей работы в государственных органах Удмуртской Республики и орган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 местного самоуправления в Удмуртской Республике, а также учреждениях и организациях различных форм собственности имеют право граждане Российской Федерации из числа лиц, принимающих (принимавших) участие в специальной военной операции и (или) выполняющих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(выполнявших) с 24 февраля 2022 года задачи по отражению вооруженного вторжения на территорию Российской Федерац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ии,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из числа проживающих в Удмуртской Республике: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призванных на военную службу по мобилизации в Вооруженные Силы Российской Федерации в соответствии с Указом № 647;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проходивших на дату начала специальной военной опе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рации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либо службу в войсках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заключивших в период с 24 февраля 2022 года контракт о прохождении военной службы в Вооруженных Силах Российской Федерации, войсках национальной гвардии Российской Федерации;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лиц, заключивших в период с 24 февраля 2022 года контракт о добровольном содействии в выполнении задач, возложенных на Вооруженные Силы Российской Федерации или войска национальн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ой гвардии Российской Федерации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социальной политики и труда  Удмуртской Республики от 10.03.2025 № 37 «Об утверждении Порядка отбора лиц для участия в региональной программе обучения для ветеранов и участников специальной военной операции 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СВОй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резерв 18»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78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редоставлени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е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бесплатного зубного протезирования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зубное протезирование предоставляется следующим категориям ветеранов боевых действий, проживающим на территории Удмуртской Республики: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принимавшим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участие (содействовавшим выполнению задач) в специал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 с военной службы (службы, работы);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2)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принимавшим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соответствии с решениями органов публичной власти Донецкой Народной Республики, Луганской Народной Респуб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  <w:u w:val="single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  <w:u w:val="single"/>
              </w:rPr>
            </w:r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риказ Министерства здравоохранения Удмуртской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от 28.03.2025 № 11 «Об утверждении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Правил бесплатного предоставления зубного протезирования ветеранам боевых действий, указанным в абзац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ах втором и третьем подпункта «в» пункта 2 Указа Президента Российской Федерации  от 3 апреля 2023 года № 232 «О создании Государственного фонда поддержки участников специальной военной операции «Защитники Отечества» за счёт бюджетных ассигнований бюджета </w:t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  <w:r>
              <w:rPr>
                <w:rFonts w:ascii="PT Astra Serif" w:hAnsi="PT Astra Serif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Удмуртской Республики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________________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709" w:right="1134" w:bottom="568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9049234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58</w:t>
        </w:r>
        <w:r>
          <w:fldChar w:fldCharType="end"/>
        </w:r>
        <w:r/>
      </w:p>
    </w:sdtContent>
  </w:sdt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2"/>
    <w:next w:val="852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3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2"/>
    <w:next w:val="852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3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3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3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3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3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3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2"/>
    <w:next w:val="852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3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2"/>
    <w:next w:val="852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3"/>
    <w:link w:val="698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3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3"/>
    <w:link w:val="857"/>
    <w:uiPriority w:val="99"/>
  </w:style>
  <w:style w:type="character" w:styleId="707">
    <w:name w:val="Footer Char"/>
    <w:basedOn w:val="853"/>
    <w:link w:val="859"/>
    <w:uiPriority w:val="99"/>
  </w:style>
  <w:style w:type="paragraph" w:styleId="708">
    <w:name w:val="Caption"/>
    <w:basedOn w:val="852"/>
    <w:next w:val="852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853"/>
    <w:link w:val="708"/>
    <w:uiPriority w:val="35"/>
    <w:rPr>
      <w:b/>
      <w:bCs/>
      <w:color w:val="4f81bd" w:themeColor="accent1"/>
      <w:sz w:val="18"/>
      <w:szCs w:val="18"/>
    </w:r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table" w:styleId="856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7">
    <w:name w:val="Header"/>
    <w:basedOn w:val="852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3"/>
    <w:link w:val="857"/>
    <w:uiPriority w:val="99"/>
  </w:style>
  <w:style w:type="paragraph" w:styleId="859">
    <w:name w:val="Footer"/>
    <w:basedOn w:val="852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3"/>
    <w:link w:val="859"/>
    <w:uiPriority w:val="99"/>
  </w:style>
  <w:style w:type="paragraph" w:styleId="861">
    <w:name w:val="Balloon Text"/>
    <w:basedOn w:val="852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3"/>
    <w:link w:val="861"/>
    <w:uiPriority w:val="99"/>
    <w:semiHidden/>
    <w:rPr>
      <w:rFonts w:ascii="Tahoma" w:hAnsi="Tahoma" w:cs="Tahoma"/>
      <w:sz w:val="16"/>
      <w:szCs w:val="16"/>
    </w:rPr>
  </w:style>
  <w:style w:type="paragraph" w:styleId="863">
    <w:name w:val="No Spacing"/>
    <w:uiPriority w:val="1"/>
    <w:qFormat/>
    <w:pPr>
      <w:spacing w:after="0" w:line="240" w:lineRule="auto"/>
    </w:pPr>
  </w:style>
  <w:style w:type="character" w:styleId="864">
    <w:name w:val="Hyperlink"/>
    <w:basedOn w:val="853"/>
    <w:uiPriority w:val="99"/>
    <w:semiHidden/>
    <w:unhideWhenUsed/>
    <w:rPr>
      <w:color w:val="0000ff" w:themeColor="hyperlink"/>
      <w:u w:val="single"/>
    </w:rPr>
  </w:style>
  <w:style w:type="paragraph" w:styleId="865">
    <w:name w:val="List Paragraph"/>
    <w:basedOn w:val="85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1EE389C0AF8615065B1E2472540ECC8A700EF6FA5D729F072EA2E16D4D64253412920D5D5DB45384714C6D4180u733I" TargetMode="External"/><Relationship Id="rId12" Type="http://schemas.openxmlformats.org/officeDocument/2006/relationships/hyperlink" Target="consultantplus://offline/ref=EDDF35E53AD3E6D94F461CE2F5582A0DD0639624D18203DF51DED4050904C0AE1E128A0465D50825B9EF200FD9E54EI" TargetMode="External"/><Relationship Id="rId13" Type="http://schemas.openxmlformats.org/officeDocument/2006/relationships/hyperlink" Target="consultantplus://offline/ref=DB357B178F0A84F0F26746C6CE32720557A4B1B4E3DFA5615A1813E55B07A5C4A043B2B95B6966416E79F7FB566F9583BE5CD59E78D8AD12iDyDH" TargetMode="External"/><Relationship Id="rId14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15" Type="http://schemas.openxmlformats.org/officeDocument/2006/relationships/hyperlink" Target="consultantplus://offline/ref=8B3A21E1BB280D18F725E8E0EE37E51DBFA5BCCA90543704EBF94C8F1B0DC7F3BAE670A0A9D5B5059F5033AEFA0CC0A29EE5ED4403C504F710AC9468RAC0F" TargetMode="External"/><Relationship Id="rId16" Type="http://schemas.openxmlformats.org/officeDocument/2006/relationships/hyperlink" Target="consultantplus://offline/ref=6342A5A6EDF32DD749AFBB8E214EA05814B10C6720EAAD6C162DDFBA2E7A59CED01669A1E71CD81E390F1FA7E51CD7A0CADB2AF50FB3E063N9SEF" TargetMode="External"/><Relationship Id="rId17" Type="http://schemas.openxmlformats.org/officeDocument/2006/relationships/hyperlink" Target="consultantplus://offline/ref=99306EFB6D1C095A8B3032AF900EBCB930DADDCCE9575F37F5D684EE9B26658D7921B115224A0CF6B4833A6CF67EC03239N4mCF" TargetMode="External"/><Relationship Id="rId18" Type="http://schemas.openxmlformats.org/officeDocument/2006/relationships/hyperlink" Target="consultantplus://offline/ref=99306EFB6D1C095A8B3032AF900EBCB930DADDCCE9575334F9D784EE9B26658D7921B115224A0CF6B4833A6CF67EC03239N4mCF" TargetMode="External"/><Relationship Id="rId19" Type="http://schemas.openxmlformats.org/officeDocument/2006/relationships/hyperlink" Target="https://login.consultant.ru/link/?req=doc&amp;base=LAW&amp;n=426999" TargetMode="External"/><Relationship Id="rId20" Type="http://schemas.openxmlformats.org/officeDocument/2006/relationships/hyperlink" Target="https://login.consultant.ru/link/?req=doc&amp;base=LAW&amp;n=472846&amp;dst=1187" TargetMode="External"/><Relationship Id="rId21" Type="http://schemas.openxmlformats.org/officeDocument/2006/relationships/hyperlink" Target="https://login.consultant.ru/link/?req=doc&amp;base=RLAW053&amp;n=147469&amp;dst=10001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D694-A0C9-47C4-A777-D63F64D1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Гафуров Руслан</cp:lastModifiedBy>
  <cp:revision>83</cp:revision>
  <dcterms:created xsi:type="dcterms:W3CDTF">2024-04-09T06:01:00Z</dcterms:created>
  <dcterms:modified xsi:type="dcterms:W3CDTF">2025-06-04T10:28:37Z</dcterms:modified>
</cp:coreProperties>
</file>