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t>Итоговая оценка качества финансового менеджмента</w:t>
      </w:r>
    </w:p>
    <w:p w:rsidR="006E4526" w:rsidRPr="002A4FFD" w:rsidRDefault="002A4FFD" w:rsidP="006E4526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>Управление финансов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E4526" w:rsidTr="00AA28BA">
        <w:trPr>
          <w:trHeight w:val="253"/>
        </w:trPr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E4526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E4526" w:rsidRPr="00AA28BA" w:rsidRDefault="002A4FFD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2A4FFD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AA28BA" w:rsidTr="00AA28BA">
        <w:tc>
          <w:tcPr>
            <w:tcW w:w="488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AA28BA" w:rsidRDefault="00AA28BA" w:rsidP="006E4526"/>
    <w:p w:rsidR="006D4C08" w:rsidRDefault="006D4C08" w:rsidP="006E4526"/>
    <w:p w:rsidR="00AA28BA" w:rsidRPr="00AA28BA" w:rsidRDefault="00AA28BA" w:rsidP="006E4526">
      <w:r>
        <w:t>Е=</w:t>
      </w:r>
      <w:r w:rsidRPr="00AA28BA">
        <w:rPr>
          <w:u w:val="single"/>
        </w:rPr>
        <w:t>13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3364F7">
        <w:t>1,04</w:t>
      </w:r>
      <w:r>
        <w:t>*100%=</w:t>
      </w:r>
      <w:r w:rsidR="003364F7">
        <w:t>10</w:t>
      </w:r>
      <w:r w:rsidR="00BB5E36">
        <w:t>0</w:t>
      </w:r>
    </w:p>
    <w:p w:rsidR="002A4FFD" w:rsidRDefault="00AA28BA" w:rsidP="006E4526">
      <w:pPr>
        <w:rPr>
          <w:lang w:val="en-US"/>
        </w:rPr>
      </w:pPr>
      <w:r>
        <w:t xml:space="preserve">     13</w:t>
      </w:r>
      <w:r w:rsidR="00B9301E">
        <w:t xml:space="preserve"> </w:t>
      </w:r>
      <w:r>
        <w:t>баллов</w:t>
      </w:r>
    </w:p>
    <w:p w:rsidR="00254E61" w:rsidRPr="00254E61" w:rsidRDefault="00254E61" w:rsidP="006E4526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6D4C08" w:rsidRPr="002A4FFD" w:rsidRDefault="006D4C08" w:rsidP="006D4C08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образования</w:t>
      </w:r>
      <w:r w:rsidRPr="002A4FFD">
        <w:rPr>
          <w:b/>
          <w:sz w:val="28"/>
          <w:szCs w:val="28"/>
        </w:rPr>
        <w:t xml:space="preserve">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D4C08" w:rsidTr="003250DD">
        <w:trPr>
          <w:trHeight w:val="253"/>
        </w:trPr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27224E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16,58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27224E" w:rsidRDefault="0027224E" w:rsidP="006D4C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27224E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8,93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CE1BD4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6D4C08" w:rsidRPr="00AA28BA" w:rsidRDefault="0027224E" w:rsidP="00254E6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98,5</w:t>
            </w:r>
            <w:r w:rsidR="006D4C08" w:rsidRPr="00AA28BA">
              <w:rPr>
                <w:sz w:val="20"/>
              </w:rPr>
              <w:t xml:space="preserve">% 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4C08" w:rsidRDefault="006D4C08" w:rsidP="006D4C08"/>
    <w:p w:rsidR="00801965" w:rsidRDefault="00801965" w:rsidP="006D4C08"/>
    <w:p w:rsidR="006D4C08" w:rsidRPr="0027224E" w:rsidRDefault="006D4C08" w:rsidP="006D4C08">
      <w:r>
        <w:t>Е=</w:t>
      </w:r>
      <w:r w:rsidRPr="00AA28BA">
        <w:rPr>
          <w:u w:val="single"/>
        </w:rPr>
        <w:t>1</w:t>
      </w:r>
      <w:r w:rsidR="0027224E">
        <w:rPr>
          <w:u w:val="single"/>
        </w:rPr>
        <w:t>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CE1BD4">
        <w:t>1,14</w:t>
      </w:r>
      <w:r>
        <w:t>*100%=</w:t>
      </w:r>
      <w:r w:rsidR="0027224E">
        <w:t>78</w:t>
      </w:r>
    </w:p>
    <w:p w:rsidR="006D4C08" w:rsidRPr="00254E61" w:rsidRDefault="006D4C08" w:rsidP="006D4C08">
      <w:r>
        <w:t xml:space="preserve">     1</w:t>
      </w:r>
      <w:r w:rsidR="00CE1BD4">
        <w:t>9</w:t>
      </w:r>
      <w:r w:rsidR="00B9301E">
        <w:t xml:space="preserve"> </w:t>
      </w:r>
      <w:r>
        <w:t>баллов</w:t>
      </w:r>
    </w:p>
    <w:p w:rsidR="00254E61" w:rsidRPr="00254E61" w:rsidRDefault="00254E61" w:rsidP="006D4C08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801965" w:rsidRPr="002A4FFD" w:rsidRDefault="00801965" w:rsidP="00801965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4FFD">
        <w:rPr>
          <w:b/>
          <w:sz w:val="28"/>
          <w:szCs w:val="28"/>
        </w:rPr>
        <w:t xml:space="preserve">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801965" w:rsidTr="003250DD">
        <w:trPr>
          <w:trHeight w:val="253"/>
        </w:trPr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27224E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1,22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27224E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27224E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801965" w:rsidRPr="00AA28BA" w:rsidRDefault="0027224E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100,55</w:t>
            </w:r>
            <w:r w:rsidR="00801965" w:rsidRPr="00AA28BA">
              <w:rPr>
                <w:sz w:val="20"/>
              </w:rPr>
              <w:t>% или менее</w:t>
            </w:r>
          </w:p>
        </w:tc>
        <w:tc>
          <w:tcPr>
            <w:tcW w:w="850" w:type="dxa"/>
          </w:tcPr>
          <w:p w:rsidR="00801965" w:rsidRPr="0027224E" w:rsidRDefault="0027224E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801965" w:rsidRDefault="00801965" w:rsidP="00801965"/>
    <w:p w:rsidR="00801965" w:rsidRDefault="00801965" w:rsidP="00801965"/>
    <w:p w:rsidR="00801965" w:rsidRPr="00254E61" w:rsidRDefault="00801965" w:rsidP="00801965">
      <w:pPr>
        <w:rPr>
          <w:lang w:val="en-US"/>
        </w:rPr>
      </w:pPr>
      <w:r>
        <w:t>Е=</w:t>
      </w:r>
      <w:r w:rsidRPr="00AA28BA">
        <w:rPr>
          <w:u w:val="single"/>
        </w:rPr>
        <w:t>1</w:t>
      </w:r>
      <w:r w:rsidR="0027224E">
        <w:rPr>
          <w:u w:val="single"/>
        </w:rPr>
        <w:t>6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*1,1</w:t>
      </w:r>
      <w:r w:rsidR="00B9301E">
        <w:t>3</w:t>
      </w:r>
      <w:r>
        <w:t>*100%=</w:t>
      </w:r>
      <w:r w:rsidR="0027224E">
        <w:t>95</w:t>
      </w:r>
      <w:bookmarkStart w:id="0" w:name="_GoBack"/>
      <w:bookmarkEnd w:id="0"/>
    </w:p>
    <w:p w:rsidR="00801965" w:rsidRPr="00254E61" w:rsidRDefault="00801965" w:rsidP="00801965">
      <w:r>
        <w:t xml:space="preserve">     19</w:t>
      </w:r>
      <w:r w:rsidR="00B9301E">
        <w:t xml:space="preserve"> </w:t>
      </w:r>
      <w:r>
        <w:t>баллов</w:t>
      </w:r>
    </w:p>
    <w:p w:rsidR="00254E61" w:rsidRPr="00254E61" w:rsidRDefault="00254E61" w:rsidP="00801965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D0556C" w:rsidRDefault="00D0556C" w:rsidP="00D0556C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2A4FFD">
        <w:rPr>
          <w:b/>
          <w:sz w:val="28"/>
          <w:szCs w:val="28"/>
        </w:rPr>
        <w:t xml:space="preserve"> муниципального образования </w:t>
      </w:r>
    </w:p>
    <w:p w:rsidR="00D0556C" w:rsidRPr="002A4FFD" w:rsidRDefault="00D0556C" w:rsidP="00D0556C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D0556C" w:rsidTr="003250DD">
        <w:trPr>
          <w:trHeight w:val="253"/>
        </w:trPr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D0556C" w:rsidRDefault="00D0556C" w:rsidP="00D0556C"/>
    <w:p w:rsidR="00D0556C" w:rsidRDefault="00D0556C" w:rsidP="00D0556C"/>
    <w:p w:rsidR="00D0556C" w:rsidRPr="00AA28BA" w:rsidRDefault="00D0556C" w:rsidP="00D0556C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D0556C" w:rsidRDefault="00D0556C" w:rsidP="00D0556C">
      <w:pPr>
        <w:rPr>
          <w:lang w:val="en-US"/>
        </w:rPr>
      </w:pPr>
      <w:r>
        <w:t xml:space="preserve">     13 баллов</w:t>
      </w:r>
    </w:p>
    <w:p w:rsidR="00254E61" w:rsidRPr="00254E61" w:rsidRDefault="00254E61" w:rsidP="00D0556C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4A2E4F" w:rsidRDefault="004A2E4F" w:rsidP="004A2E4F">
      <w:pPr>
        <w:mirrorIndents/>
        <w:jc w:val="center"/>
        <w:rPr>
          <w:b/>
          <w:sz w:val="28"/>
          <w:szCs w:val="28"/>
        </w:rPr>
      </w:pPr>
      <w:r w:rsidRPr="004A2E4F">
        <w:rPr>
          <w:b/>
          <w:sz w:val="28"/>
          <w:szCs w:val="28"/>
        </w:rPr>
        <w:t>Контрольно – счетный орган</w:t>
      </w:r>
      <w:r>
        <w:t xml:space="preserve"> </w:t>
      </w:r>
      <w:r w:rsidRPr="002A4FFD">
        <w:rPr>
          <w:b/>
          <w:sz w:val="28"/>
          <w:szCs w:val="28"/>
        </w:rPr>
        <w:t xml:space="preserve">муниципального образования </w:t>
      </w:r>
    </w:p>
    <w:p w:rsidR="004A2E4F" w:rsidRPr="002A4FFD" w:rsidRDefault="004A2E4F" w:rsidP="004A2E4F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4A2E4F" w:rsidTr="003250DD">
        <w:trPr>
          <w:trHeight w:val="253"/>
        </w:trPr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4A2E4F" w:rsidRDefault="004A2E4F" w:rsidP="004A2E4F"/>
    <w:p w:rsidR="004A2E4F" w:rsidRDefault="004A2E4F" w:rsidP="004A2E4F"/>
    <w:p w:rsidR="004A2E4F" w:rsidRPr="00AA28BA" w:rsidRDefault="004A2E4F" w:rsidP="004A2E4F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4A2E4F" w:rsidRDefault="004A2E4F" w:rsidP="004A2E4F">
      <w:r>
        <w:t xml:space="preserve">     13 баллов</w:t>
      </w:r>
    </w:p>
    <w:p w:rsidR="00254E61" w:rsidRDefault="00254E61" w:rsidP="001C4BD2">
      <w:pPr>
        <w:mirrorIndents/>
        <w:jc w:val="center"/>
        <w:rPr>
          <w:b/>
          <w:lang w:val="en-US"/>
        </w:rPr>
      </w:pP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2A4FFD" w:rsidRDefault="002A4FFD" w:rsidP="002A4FFD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2A4FFD" w:rsidRPr="00663073" w:rsidRDefault="002A4FFD" w:rsidP="002A4FFD">
      <w:pPr>
        <w:mirrorIndents/>
        <w:jc w:val="center"/>
        <w:rPr>
          <w:b/>
        </w:rPr>
      </w:pPr>
    </w:p>
    <w:tbl>
      <w:tblPr>
        <w:tblpPr w:leftFromText="180" w:rightFromText="180" w:vertAnchor="text" w:horzAnchor="margin" w:tblpXSpec="center" w:tblpY="435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409"/>
        <w:gridCol w:w="851"/>
      </w:tblGrid>
      <w:tr w:rsidR="002A4FFD" w:rsidTr="002A4FFD">
        <w:tc>
          <w:tcPr>
            <w:tcW w:w="488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32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ind w:left="-2"/>
              <w:jc w:val="center"/>
            </w:pPr>
            <w:r>
              <w:t>Количество баллов</w:t>
            </w:r>
          </w:p>
        </w:tc>
      </w:tr>
      <w:tr w:rsidR="002A4FFD" w:rsidTr="002A4FFD">
        <w:trPr>
          <w:trHeight w:val="253"/>
        </w:trPr>
        <w:tc>
          <w:tcPr>
            <w:tcW w:w="488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1</w:t>
            </w:r>
          </w:p>
        </w:tc>
        <w:tc>
          <w:tcPr>
            <w:tcW w:w="348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2</w:t>
            </w:r>
          </w:p>
        </w:tc>
        <w:tc>
          <w:tcPr>
            <w:tcW w:w="332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6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Pr="00CB39C9" w:rsidRDefault="002A4FFD" w:rsidP="002A4F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Эффективность управления главным  </w:t>
            </w:r>
            <w:r w:rsidRPr="00D64FB7">
              <w:t>распорядител</w:t>
            </w:r>
            <w:r>
              <w:t xml:space="preserve">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0,15%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 w:rsidRPr="007C38CF"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0,15% и более, но менее 0,2%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0,2%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 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0,4%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0,4% и более, но менее 1%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1%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Своевременность представления бюджетной и бухгалтерской отчетности в Управление  </w:t>
            </w:r>
            <w:r w:rsidRPr="00D84C72">
              <w:t>финансов Глазовского</w:t>
            </w:r>
            <w:r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Количество дней отклонения от сроков представления бюджетной и бухгалтерской отчетности за отчетный период в  </w:t>
            </w:r>
            <w:r w:rsidRPr="00AE58ED">
              <w:t xml:space="preserve">Управление  финансов </w:t>
            </w:r>
            <w:r w:rsidRPr="00D84C72">
              <w:t>Глазо</w:t>
            </w:r>
            <w:r w:rsidRPr="00AE58ED">
              <w:t>вского района</w:t>
            </w: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Качество бюджетной и бухгалтерской отчетности, представляемой главным администратором в </w:t>
            </w:r>
            <w:r w:rsidRPr="00AE58ED">
              <w:t xml:space="preserve">Управление  </w:t>
            </w:r>
            <w:r w:rsidRPr="00D84C72">
              <w:t>финансов Глазовского</w:t>
            </w:r>
            <w:r w:rsidRPr="00AE58ED"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2A4FFD" w:rsidRDefault="002A4FFD" w:rsidP="002A4FFD">
            <w:pPr>
              <w:pStyle w:val="ConsPlusNormal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= N / F x 100%,</w:t>
            </w:r>
          </w:p>
          <w:p w:rsidR="002A4FFD" w:rsidRDefault="002A4FFD" w:rsidP="002A4FFD">
            <w:pPr>
              <w:pStyle w:val="ConsPlusNormal"/>
            </w:pPr>
            <w:r>
              <w:t>где:</w:t>
            </w:r>
          </w:p>
          <w:p w:rsidR="002A4FFD" w:rsidRDefault="002A4FFD" w:rsidP="002A4FFD">
            <w:pPr>
              <w:pStyle w:val="ConsPlusNormal"/>
            </w:pPr>
            <w: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2A4FFD" w:rsidRDefault="002A4FFD" w:rsidP="002A4FFD">
            <w:pPr>
              <w:pStyle w:val="ConsPlusNormal"/>
            </w:pPr>
            <w: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95%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4A2E4F">
            <w:pPr>
              <w:spacing w:after="200" w:line="276" w:lineRule="auto"/>
            </w:pP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</w:tbl>
    <w:p w:rsidR="002A4FFD" w:rsidRDefault="002A4FFD" w:rsidP="002A4FFD"/>
    <w:p w:rsidR="002A4FFD" w:rsidRDefault="002A4FFD" w:rsidP="006E4526"/>
    <w:p w:rsidR="002A4FFD" w:rsidRDefault="002A4FFD" w:rsidP="006E4526"/>
    <w:p w:rsidR="002A4FFD" w:rsidRDefault="002A4FFD" w:rsidP="006E4526"/>
    <w:sectPr w:rsidR="002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3"/>
    <w:rsid w:val="001C4BD2"/>
    <w:rsid w:val="001E1BE7"/>
    <w:rsid w:val="00250DC1"/>
    <w:rsid w:val="00254E61"/>
    <w:rsid w:val="0027224E"/>
    <w:rsid w:val="002A4FFD"/>
    <w:rsid w:val="003364F7"/>
    <w:rsid w:val="0036071F"/>
    <w:rsid w:val="00445457"/>
    <w:rsid w:val="004A2E4F"/>
    <w:rsid w:val="005276D5"/>
    <w:rsid w:val="00663073"/>
    <w:rsid w:val="0066683B"/>
    <w:rsid w:val="006D4C08"/>
    <w:rsid w:val="006E4526"/>
    <w:rsid w:val="007C38CF"/>
    <w:rsid w:val="007E0F73"/>
    <w:rsid w:val="00801965"/>
    <w:rsid w:val="00894382"/>
    <w:rsid w:val="008D3B16"/>
    <w:rsid w:val="009D4FBB"/>
    <w:rsid w:val="00AA28BA"/>
    <w:rsid w:val="00B9301E"/>
    <w:rsid w:val="00BB5E36"/>
    <w:rsid w:val="00BC3511"/>
    <w:rsid w:val="00CA03AF"/>
    <w:rsid w:val="00CE1BD4"/>
    <w:rsid w:val="00D0556C"/>
    <w:rsid w:val="00EE049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2023-04-26T07:05:00Z</cp:lastPrinted>
  <dcterms:created xsi:type="dcterms:W3CDTF">2023-04-24T07:42:00Z</dcterms:created>
  <dcterms:modified xsi:type="dcterms:W3CDTF">2024-08-05T05:46:00Z</dcterms:modified>
</cp:coreProperties>
</file>