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3"/>
        <w:gridCol w:w="188"/>
        <w:gridCol w:w="313"/>
        <w:gridCol w:w="424"/>
        <w:gridCol w:w="7"/>
        <w:gridCol w:w="72"/>
        <w:gridCol w:w="571"/>
        <w:gridCol w:w="83"/>
        <w:gridCol w:w="874"/>
        <w:gridCol w:w="4032"/>
        <w:gridCol w:w="436"/>
        <w:gridCol w:w="1985"/>
        <w:gridCol w:w="978"/>
        <w:gridCol w:w="712"/>
        <w:gridCol w:w="359"/>
        <w:gridCol w:w="3610"/>
        <w:gridCol w:w="143"/>
      </w:tblGrid>
      <w:tr w:rsidR="007956E4" w:rsidRPr="00666DB9" w:rsidTr="002D4CFE">
        <w:trPr>
          <w:gridAfter w:val="1"/>
          <w:wAfter w:w="143" w:type="dxa"/>
          <w:trHeight w:val="259"/>
        </w:trPr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3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425" w:type="dxa"/>
            <w:gridSpan w:val="4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63" w:type="dxa"/>
            <w:gridSpan w:val="2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7956E4" w:rsidRPr="004F7244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  <w:hideMark/>
          </w:tcPr>
          <w:p w:rsidR="007956E4" w:rsidRPr="004F7244" w:rsidRDefault="007956E4" w:rsidP="007956E4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 Приложение 2</w:t>
            </w:r>
          </w:p>
        </w:tc>
      </w:tr>
      <w:tr w:rsidR="007956E4" w:rsidRPr="00666DB9" w:rsidTr="002D4CFE">
        <w:trPr>
          <w:gridAfter w:val="1"/>
          <w:wAfter w:w="143" w:type="dxa"/>
          <w:trHeight w:val="259"/>
        </w:trPr>
        <w:tc>
          <w:tcPr>
            <w:tcW w:w="523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3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425" w:type="dxa"/>
            <w:gridSpan w:val="4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63" w:type="dxa"/>
            <w:gridSpan w:val="2"/>
            <w:shd w:val="clear" w:color="auto" w:fill="auto"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</w:tcPr>
          <w:p w:rsidR="007956E4" w:rsidRPr="00D61853" w:rsidRDefault="007956E4" w:rsidP="007956E4">
            <w:pPr>
              <w:spacing w:before="0"/>
              <w:rPr>
                <w:bCs w:val="0"/>
              </w:rPr>
            </w:pPr>
          </w:p>
        </w:tc>
      </w:tr>
      <w:tr w:rsidR="00993B5C" w:rsidRPr="00666DB9" w:rsidTr="002D4CFE">
        <w:trPr>
          <w:trHeight w:val="525"/>
        </w:trPr>
        <w:tc>
          <w:tcPr>
            <w:tcW w:w="15310" w:type="dxa"/>
            <w:gridSpan w:val="17"/>
            <w:shd w:val="clear" w:color="auto" w:fill="auto"/>
            <w:noWrap/>
            <w:vAlign w:val="center"/>
            <w:hideMark/>
          </w:tcPr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  <w:p w:rsidR="00DE4771" w:rsidRPr="00EC5CFF" w:rsidRDefault="00EC5CFF" w:rsidP="002965BB">
            <w:pPr>
              <w:spacing w:before="0"/>
              <w:jc w:val="center"/>
              <w:rPr>
                <w:b/>
              </w:rPr>
            </w:pPr>
            <w:r w:rsidRPr="00EC5CFF">
              <w:rPr>
                <w:b/>
              </w:rPr>
              <w:t xml:space="preserve">Перечень основных мероприятий муниципальной программы </w:t>
            </w:r>
            <w:r>
              <w:rPr>
                <w:b/>
              </w:rPr>
              <w:t>«Муниципальное управление»</w:t>
            </w:r>
          </w:p>
          <w:tbl>
            <w:tblPr>
              <w:tblStyle w:val="af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6"/>
              <w:gridCol w:w="9947"/>
            </w:tblGrid>
            <w:tr w:rsidR="00DE4771" w:rsidTr="00DE4771">
              <w:tc>
                <w:tcPr>
                  <w:tcW w:w="5026" w:type="dxa"/>
                </w:tcPr>
                <w:p w:rsidR="00DE4771" w:rsidRDefault="00DE4771" w:rsidP="002965BB">
                  <w:pPr>
                    <w:spacing w:before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47" w:type="dxa"/>
                </w:tcPr>
                <w:p w:rsidR="00DE4771" w:rsidRPr="00DE4771" w:rsidRDefault="00DE4771" w:rsidP="002965BB">
                  <w:pPr>
                    <w:spacing w:before="0"/>
                    <w:jc w:val="center"/>
                  </w:pPr>
                </w:p>
              </w:tc>
            </w:tr>
          </w:tbl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9"/>
          <w:tblHeader/>
        </w:trPr>
        <w:tc>
          <w:tcPr>
            <w:tcW w:w="3055" w:type="dxa"/>
            <w:gridSpan w:val="9"/>
            <w:shd w:val="clear" w:color="auto" w:fill="auto"/>
            <w:noWrap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  <w:bookmarkStart w:id="0" w:name="RANGE!A1:I132"/>
            <w:bookmarkEnd w:id="0"/>
            <w:r w:rsidRPr="002D4CFE">
              <w:rPr>
                <w:bCs w:val="0"/>
                <w:sz w:val="18"/>
                <w:szCs w:val="18"/>
                <w:lang w:eastAsia="ar-SA"/>
              </w:rPr>
              <w:t>Код аналитической программной классификации</w:t>
            </w:r>
          </w:p>
        </w:tc>
        <w:tc>
          <w:tcPr>
            <w:tcW w:w="4032" w:type="dxa"/>
            <w:vMerge w:val="restart"/>
            <w:shd w:val="clear" w:color="auto" w:fill="auto"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21" w:type="dxa"/>
            <w:gridSpan w:val="2"/>
            <w:vMerge w:val="restart"/>
            <w:shd w:val="clear" w:color="auto" w:fill="auto"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Ответственный исполнитель, соисполнители</w:t>
            </w:r>
          </w:p>
        </w:tc>
        <w:tc>
          <w:tcPr>
            <w:tcW w:w="2049" w:type="dxa"/>
            <w:gridSpan w:val="3"/>
            <w:vMerge w:val="restart"/>
            <w:shd w:val="clear" w:color="auto" w:fill="auto"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Срок выполнения</w:t>
            </w:r>
          </w:p>
        </w:tc>
        <w:tc>
          <w:tcPr>
            <w:tcW w:w="3753" w:type="dxa"/>
            <w:gridSpan w:val="2"/>
            <w:vMerge w:val="restart"/>
            <w:shd w:val="clear" w:color="auto" w:fill="auto"/>
            <w:vAlign w:val="center"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Ожидаемый непосредственный результат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  <w:tblHeader/>
        </w:trPr>
        <w:tc>
          <w:tcPr>
            <w:tcW w:w="711" w:type="dxa"/>
            <w:gridSpan w:val="2"/>
            <w:shd w:val="clear" w:color="auto" w:fill="auto"/>
            <w:noWrap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МП</w:t>
            </w:r>
          </w:p>
        </w:tc>
        <w:tc>
          <w:tcPr>
            <w:tcW w:w="737" w:type="dxa"/>
            <w:gridSpan w:val="2"/>
            <w:shd w:val="clear" w:color="auto" w:fill="auto"/>
            <w:noWrap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733" w:type="dxa"/>
            <w:gridSpan w:val="4"/>
            <w:shd w:val="clear" w:color="auto" w:fill="auto"/>
            <w:noWrap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ОМ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М</w:t>
            </w:r>
          </w:p>
        </w:tc>
        <w:tc>
          <w:tcPr>
            <w:tcW w:w="4032" w:type="dxa"/>
            <w:vMerge/>
            <w:shd w:val="clear" w:color="auto" w:fill="auto"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/>
                <w:bCs w:val="0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21" w:type="dxa"/>
            <w:gridSpan w:val="2"/>
            <w:vMerge/>
            <w:shd w:val="clear" w:color="auto" w:fill="auto"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04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5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7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D4CFE" w:rsidRPr="002D4CFE" w:rsidRDefault="002D4CFE" w:rsidP="002D4CFE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rPr>
                <w:b/>
                <w:bCs w:val="0"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 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>2015-2028 годы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Разработка долгосрочной бюджетной стратегии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>муниципального образования «Глазовский район»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отдел экономики,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>муниципального образования «Глазовский район»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отдел экономики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2015 -2016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Правовые акты, определяющие порядок разработки долгосрочной бюджетной стратегии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Разработка и утверждение долгосрочной бюджетной стратегии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>муниципального образования «Глазовский район»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отдел экономики Администрации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2015-2016 год</w:t>
            </w:r>
          </w:p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Правовой акт муниципального образования «Глазовский район», утверждающий долгосрочную бюджетную стратегию 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Реализация муниципальных программ муниципального образования «Глазовский район»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tabs>
                <w:tab w:val="center" w:pos="1141"/>
              </w:tabs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 Актуальные (приведенные в соответствие с решением о бюджете) версии муниципальных программ муниципального образования «Глазовский район».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Составление ежегодных планов реализации муниципальных программ муниципального образования «Глазовский район»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Ежегодные планы реализации муниципальных программ, утвержденные актами органов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03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Мониторинг и </w:t>
            </w: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>контроль за</w:t>
            </w:r>
            <w:proofErr w:type="gram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реализацией муниципальных программ муниципального образования «Глазовский район»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 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, отдел экономики Администрации </w:t>
            </w:r>
            <w:proofErr w:type="spell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</w:t>
            </w:r>
          </w:p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 Годовые отчеты о реализации муниципальных программ муниципального образования «Глазовский район», решения, принятые  по итогам оценки эффективности реализации муниципальных программ муниципального образования «Глазовский район» на основе годовых отчетов 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Проект бюджета муниципального образования «Глазовский район» на очередной финансовый год и плановый период в структуре муниципальных программ. 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05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Разработка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both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Реализация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Отел экономики Администрации </w:t>
            </w:r>
            <w:proofErr w:type="spell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района,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отдел экономики Администрации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Нормативные правовые акты Администрации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>муниципального образования «Глазовский район»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. Ежеквартальные отчеты органов местного самоуправления в </w:t>
            </w:r>
            <w:proofErr w:type="spell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нформации о состоянии финансового контроля в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Глазовском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районе.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Проведение семинаров, совещаний.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711" w:type="dxa"/>
            <w:gridSpan w:val="2"/>
            <w:shd w:val="clear" w:color="auto" w:fill="auto"/>
            <w:noWrap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874" w:type="dxa"/>
            <w:shd w:val="clear" w:color="auto" w:fill="auto"/>
            <w:noWrap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01</w:t>
            </w:r>
          </w:p>
        </w:tc>
        <w:tc>
          <w:tcPr>
            <w:tcW w:w="4032" w:type="dxa"/>
            <w:shd w:val="clear" w:color="auto" w:fill="auto"/>
          </w:tcPr>
          <w:p w:rsidR="002D4CFE" w:rsidRPr="002D4CFE" w:rsidRDefault="002D4CFE" w:rsidP="002D4CFE">
            <w:pPr>
              <w:suppressAutoHyphens/>
              <w:spacing w:before="0" w:after="24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421" w:type="dxa"/>
            <w:gridSpan w:val="2"/>
            <w:shd w:val="clear" w:color="auto" w:fill="auto"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02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Организация и осуществление деятельности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органов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, органа муниципального финансового контроля</w:t>
            </w:r>
            <w:r w:rsidRPr="002D4CFE">
              <w:rPr>
                <w:bCs w:val="0"/>
                <w:i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по </w:t>
            </w:r>
            <w:proofErr w:type="gram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контролю за</w:t>
            </w:r>
            <w:proofErr w:type="gram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муниципальными закупками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Отел экономики Администрации </w:t>
            </w:r>
            <w:proofErr w:type="spell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района,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Методическое обеспечение </w:t>
            </w:r>
            <w:proofErr w:type="gram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контроля за</w:t>
            </w:r>
            <w:proofErr w:type="gram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, по </w:t>
            </w:r>
            <w:proofErr w:type="gram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контролю за</w:t>
            </w:r>
            <w:proofErr w:type="gram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муниципальными закупками.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Проведение семинаров, совещаний. Проведение мероприятий по </w:t>
            </w: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>контролю за</w:t>
            </w:r>
            <w:proofErr w:type="gram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08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 w:after="24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 год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Утвержденные перечни муниципальных услуг органами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>района</w:t>
            </w:r>
            <w:proofErr w:type="gram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которые являются учредителями муниципальных учреждений, в 2015 году (для формирования муниципальных заданий на 2016 год и плановый период)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b/>
                <w:bCs w:val="0"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/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autoSpaceDE w:val="0"/>
              <w:autoSpaceDN w:val="0"/>
              <w:adjustRightInd w:val="0"/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Переход при финансовом обеспечении выполнения муниципальных заданий к единым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lastRenderedPageBreak/>
              <w:t>методикам расчета нормативных затрат на оказание муниципальных услуг, с соблюдением общих требований,</w:t>
            </w:r>
            <w:r w:rsidRPr="002D4CFE">
              <w:rPr>
                <w:rFonts w:eastAsia="Calibri"/>
                <w:bCs w:val="0"/>
                <w:sz w:val="18"/>
                <w:szCs w:val="18"/>
                <w:lang w:eastAsia="en-US"/>
              </w:rPr>
              <w:t xml:space="preserve">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>, а также с учетом территориальной и (или) отраслевой специфики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lastRenderedPageBreak/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lastRenderedPageBreak/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2016 год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 Правовые акты, утверждающие методики расчета нормативных затрат на оказание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lastRenderedPageBreak/>
              <w:t>муниципальных услуг, с учетом общих требований, 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Оптимизация сети муниципальных учреждений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2015-2016 годы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муниципальныхуслуг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>, гарантированных населению за счет средств бюджета муниципального образования «Глазовский район»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9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Внедрение и совершенствование </w:t>
            </w:r>
            <w:proofErr w:type="gram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систем оплаты труда работников муниципальных учреждений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>муниципального</w:t>
            </w:r>
            <w:proofErr w:type="gram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образования «Глазовский район»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2015-2017 годы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autoSpaceDE w:val="0"/>
              <w:autoSpaceDN w:val="0"/>
              <w:adjustRightInd w:val="0"/>
              <w:spacing w:before="0"/>
              <w:ind w:firstLine="1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Правовые акты, устанавливающие системы оплаты труда в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муниципальных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учреждениях муниципального образования «Глазовский район» (по органам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района, осуществляющим функции и полномочия учредителя муниципальных учреждений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района),  с установлением </w:t>
            </w:r>
            <w:r w:rsidRPr="002D4CFE">
              <w:rPr>
                <w:rFonts w:eastAsia="Calibri"/>
                <w:bCs w:val="0"/>
                <w:sz w:val="18"/>
                <w:szCs w:val="18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муниципальных учреждений </w:t>
            </w:r>
            <w:r w:rsidRPr="002D4CFE">
              <w:rPr>
                <w:rFonts w:eastAsia="Calibri"/>
                <w:bCs w:val="0"/>
                <w:sz w:val="18"/>
                <w:szCs w:val="18"/>
                <w:lang w:eastAsia="en-US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Мониторинг оказания муниципальных услуг в сферах образования,</w:t>
            </w: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,</w:t>
            </w:r>
            <w:proofErr w:type="gram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культуры, предусматривающий формирование плана по решению выявленных проблем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Проведение мониторинга и оценки </w:t>
            </w: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образования «Глазовский район», применение результатов оценки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rPr>
                <w:sz w:val="18"/>
                <w:szCs w:val="18"/>
                <w:lang w:eastAsia="ar-SA"/>
              </w:rPr>
            </w:pP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Результаты оценки качества финансового менеджмента главных распорядителей средств бюджета муниципального образования «Глазовский район», публикация данных в открытом доступен на сайте </w:t>
            </w:r>
            <w:r w:rsidRPr="002D4CFE">
              <w:rPr>
                <w:rFonts w:eastAsia="Calibri"/>
                <w:bCs w:val="0"/>
                <w:sz w:val="18"/>
                <w:szCs w:val="18"/>
                <w:lang w:val="x-none" w:eastAsia="en-US"/>
              </w:rPr>
              <w:t xml:space="preserve">Администрации </w:t>
            </w:r>
            <w:r w:rsidRPr="002D4CFE">
              <w:rPr>
                <w:rFonts w:eastAsia="Calibri"/>
                <w:bCs w:val="0"/>
                <w:sz w:val="18"/>
                <w:szCs w:val="18"/>
                <w:lang w:eastAsia="en-US"/>
              </w:rPr>
              <w:t>муниципального образования</w:t>
            </w:r>
            <w:r w:rsidRPr="002D4CFE">
              <w:rPr>
                <w:rFonts w:eastAsia="Calibri"/>
                <w:bCs w:val="0"/>
                <w:sz w:val="18"/>
                <w:szCs w:val="18"/>
                <w:lang w:val="x-none" w:eastAsia="en-US"/>
              </w:rPr>
              <w:t xml:space="preserve"> "Глазовский район"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>.</w:t>
            </w:r>
            <w:proofErr w:type="gram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Повышение </w:t>
            </w: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образования «Глазовский район»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Координация работы и методическая поддержка главных распорядителей средств бюджета муниципального образования «Глазовский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Разработка методических рекомендаций для главных распорядителей средств бюджета муниципального образования «Глазовский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37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33" w:type="dxa"/>
            <w:gridSpan w:val="4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Стимулирование главных распорядителей средств бюджета муниципального образования «Глазовский район»  по итогам оценки качества финансового менеджмента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jc w:val="center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40" w:after="4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Поощрение главных распорядителей средств бюджета муниципального образования «Глазовский район»,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7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Внесение изменений в Постановление Главы муниципального образования «Глазовский район»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от 10 февраля 2012 года № 3.1.1 «Об утверждении Порядка предоставления иных межбюджетных трансфертов из бюджета </w:t>
            </w:r>
            <w:proofErr w:type="spell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 бюджетам муниципальных образований (поселений)»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Публикация сведений  на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официальном сайте Администрации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муниципального образования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lastRenderedPageBreak/>
              <w:t xml:space="preserve">«Глазовский район» 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lastRenderedPageBreak/>
              <w:t xml:space="preserve">Управление финансов Администрации </w:t>
            </w:r>
            <w:r w:rsidRPr="002D4CFE">
              <w:rPr>
                <w:bCs w:val="0"/>
                <w:sz w:val="18"/>
                <w:szCs w:val="18"/>
                <w:lang w:eastAsia="ar-SA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Опубликованные сведения, предусмотренные порядком размещения информации на сайте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 xml:space="preserve">Администрации </w:t>
            </w:r>
            <w:proofErr w:type="spell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района 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Разработка и публикация «Бюджета для граждан»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Опубликованный на официальном сайте Администрации  муниципального образования «Глазовский район» «Бюджет для граждан» на стадиях: составление проекта бюджета; утвержденный бюджет; отчет об исполнении бюджета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Органы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Публикация результатов общественного обсуждения на официальных сайтах органов местного самоуправления </w:t>
            </w:r>
            <w:proofErr w:type="spellStart"/>
            <w:r w:rsidRPr="002D4CFE">
              <w:rPr>
                <w:bCs w:val="0"/>
                <w:sz w:val="18"/>
                <w:szCs w:val="18"/>
                <w:lang w:eastAsia="ar-SA"/>
              </w:rPr>
              <w:t>Глазовского</w:t>
            </w:r>
            <w:proofErr w:type="spellEnd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 района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0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bCs w:val="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outlineLvl w:val="2"/>
              <w:rPr>
                <w:bCs w:val="0"/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Правовые акты о внесении изменений в муниципальную подпрограмму «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сбалансированности и устойчивости бюджета»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2020 год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</w:tr>
      <w:tr w:rsidR="002D4CFE" w:rsidRPr="002D4CFE" w:rsidTr="0067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62"/>
        </w:trPr>
        <w:tc>
          <w:tcPr>
            <w:tcW w:w="711" w:type="dxa"/>
            <w:gridSpan w:val="2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lastRenderedPageBreak/>
              <w:t>09</w:t>
            </w:r>
          </w:p>
        </w:tc>
        <w:tc>
          <w:tcPr>
            <w:tcW w:w="744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6" w:type="dxa"/>
            <w:gridSpan w:val="3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4032" w:type="dxa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Материальное стимулирование </w:t>
            </w:r>
            <w:proofErr w:type="gramStart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421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2049" w:type="dxa"/>
            <w:gridSpan w:val="3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2015-2028 годы </w:t>
            </w:r>
          </w:p>
        </w:tc>
        <w:tc>
          <w:tcPr>
            <w:tcW w:w="3753" w:type="dxa"/>
            <w:gridSpan w:val="2"/>
            <w:shd w:val="clear" w:color="auto" w:fill="auto"/>
            <w:hideMark/>
          </w:tcPr>
          <w:p w:rsidR="002D4CFE" w:rsidRPr="002D4CFE" w:rsidRDefault="002D4CFE" w:rsidP="002D4CFE">
            <w:pPr>
              <w:suppressAutoHyphens/>
              <w:spacing w:before="0"/>
              <w:rPr>
                <w:sz w:val="18"/>
                <w:szCs w:val="18"/>
                <w:lang w:eastAsia="ar-SA"/>
              </w:rPr>
            </w:pPr>
            <w:r w:rsidRPr="002D4CFE">
              <w:rPr>
                <w:bCs w:val="0"/>
                <w:sz w:val="18"/>
                <w:szCs w:val="18"/>
                <w:lang w:eastAsia="ar-SA"/>
              </w:rPr>
              <w:t xml:space="preserve">Распределение премиальных выплат участникам реализации </w:t>
            </w:r>
            <w:proofErr w:type="gramStart"/>
            <w:r w:rsidRPr="002D4CFE">
              <w:rPr>
                <w:bCs w:val="0"/>
                <w:sz w:val="18"/>
                <w:szCs w:val="18"/>
                <w:lang w:eastAsia="ar-SA"/>
              </w:rPr>
              <w:t xml:space="preserve">подпрограммы повышения эффективности расходов бюджета </w:t>
            </w:r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>муниципального</w:t>
            </w:r>
            <w:proofErr w:type="gramEnd"/>
            <w:r w:rsidRPr="002D4CFE">
              <w:rPr>
                <w:bCs w:val="0"/>
                <w:color w:val="000000"/>
                <w:sz w:val="18"/>
                <w:szCs w:val="18"/>
                <w:lang w:eastAsia="ar-SA"/>
              </w:rPr>
              <w:t xml:space="preserve"> образования «Глазовский район»</w:t>
            </w:r>
            <w:r w:rsidRPr="002D4CFE">
              <w:rPr>
                <w:bCs w:val="0"/>
                <w:sz w:val="18"/>
                <w:szCs w:val="18"/>
                <w:lang w:eastAsia="ar-SA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</w:tr>
    </w:tbl>
    <w:p w:rsidR="008C067E" w:rsidRPr="004F72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1" w:name="_GoBack"/>
      <w:bookmarkEnd w:id="1"/>
    </w:p>
    <w:sectPr w:rsidR="008C067E" w:rsidRPr="004F7244" w:rsidSect="00984E90">
      <w:headerReference w:type="default" r:id="rId9"/>
      <w:pgSz w:w="16838" w:h="11906" w:orient="landscape" w:code="9"/>
      <w:pgMar w:top="56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03" w:rsidRDefault="00B32E03" w:rsidP="000F239B">
      <w:pPr>
        <w:spacing w:before="0"/>
      </w:pPr>
      <w:r>
        <w:separator/>
      </w:r>
    </w:p>
  </w:endnote>
  <w:endnote w:type="continuationSeparator" w:id="0">
    <w:p w:rsidR="00B32E03" w:rsidRDefault="00B32E03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03" w:rsidRDefault="00B32E03" w:rsidP="000F239B">
      <w:pPr>
        <w:spacing w:before="0"/>
      </w:pPr>
      <w:r>
        <w:separator/>
      </w:r>
    </w:p>
  </w:footnote>
  <w:footnote w:type="continuationSeparator" w:id="0">
    <w:p w:rsidR="00B32E03" w:rsidRDefault="00B32E03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B32E03" w:rsidRDefault="00B32E03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2D4CFE">
          <w:rPr>
            <w:noProof/>
            <w:sz w:val="22"/>
            <w:szCs w:val="22"/>
          </w:rPr>
          <w:t>2</w:t>
        </w:r>
        <w:r w:rsidRPr="00CD159B">
          <w:rPr>
            <w:sz w:val="22"/>
            <w:szCs w:val="22"/>
          </w:rPr>
          <w:fldChar w:fldCharType="end"/>
        </w:r>
      </w:p>
    </w:sdtContent>
  </w:sdt>
  <w:p w:rsidR="00B32E03" w:rsidRDefault="00B32E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22391"/>
    <w:rsid w:val="00024373"/>
    <w:rsid w:val="000257E3"/>
    <w:rsid w:val="00026D26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97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3F92"/>
    <w:rsid w:val="001275C6"/>
    <w:rsid w:val="001321DB"/>
    <w:rsid w:val="00133732"/>
    <w:rsid w:val="00140247"/>
    <w:rsid w:val="0014324C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D0760"/>
    <w:rsid w:val="001D2139"/>
    <w:rsid w:val="001D6068"/>
    <w:rsid w:val="001D7744"/>
    <w:rsid w:val="001D796B"/>
    <w:rsid w:val="001E1B2F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77CDF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4CFE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2F48"/>
    <w:rsid w:val="00315975"/>
    <w:rsid w:val="00315F72"/>
    <w:rsid w:val="00320AE6"/>
    <w:rsid w:val="00326501"/>
    <w:rsid w:val="00330524"/>
    <w:rsid w:val="00334A50"/>
    <w:rsid w:val="00334E19"/>
    <w:rsid w:val="00334FE3"/>
    <w:rsid w:val="003351E2"/>
    <w:rsid w:val="003408AE"/>
    <w:rsid w:val="003411CD"/>
    <w:rsid w:val="00341670"/>
    <w:rsid w:val="00344DB0"/>
    <w:rsid w:val="00344DEB"/>
    <w:rsid w:val="00345A8A"/>
    <w:rsid w:val="00351FF3"/>
    <w:rsid w:val="00355CB2"/>
    <w:rsid w:val="00360CCE"/>
    <w:rsid w:val="00361A4E"/>
    <w:rsid w:val="00362F16"/>
    <w:rsid w:val="0036334C"/>
    <w:rsid w:val="0036729D"/>
    <w:rsid w:val="003674C1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1E7C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2377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75A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7244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205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AE4"/>
    <w:rsid w:val="00613FC8"/>
    <w:rsid w:val="0061558E"/>
    <w:rsid w:val="0061640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3C3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F3C7E"/>
    <w:rsid w:val="006F58A7"/>
    <w:rsid w:val="006F78D6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4DB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60E5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6BE"/>
    <w:rsid w:val="0098295A"/>
    <w:rsid w:val="00982AF5"/>
    <w:rsid w:val="00983481"/>
    <w:rsid w:val="00984E90"/>
    <w:rsid w:val="00985B1E"/>
    <w:rsid w:val="00986CF5"/>
    <w:rsid w:val="009930D8"/>
    <w:rsid w:val="009936B0"/>
    <w:rsid w:val="00993B5C"/>
    <w:rsid w:val="00994BB3"/>
    <w:rsid w:val="009A2066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92B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6044B"/>
    <w:rsid w:val="00A64338"/>
    <w:rsid w:val="00A65E36"/>
    <w:rsid w:val="00A717FF"/>
    <w:rsid w:val="00A85538"/>
    <w:rsid w:val="00A9014F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5DC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2E03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4D72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3B48"/>
    <w:rsid w:val="00BC6223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4598"/>
    <w:rsid w:val="00D351D9"/>
    <w:rsid w:val="00D352D5"/>
    <w:rsid w:val="00D36744"/>
    <w:rsid w:val="00D368FF"/>
    <w:rsid w:val="00D371AA"/>
    <w:rsid w:val="00D402B5"/>
    <w:rsid w:val="00D41302"/>
    <w:rsid w:val="00D43038"/>
    <w:rsid w:val="00D4471F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D19D0"/>
    <w:rsid w:val="00DE4771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C5CFF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01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5CAC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3C7A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14F0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BC82A-E946-4AE4-B54B-12DEF623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7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2017-03-09T05:28:00Z</cp:lastPrinted>
  <dcterms:created xsi:type="dcterms:W3CDTF">2013-06-19T10:41:00Z</dcterms:created>
  <dcterms:modified xsi:type="dcterms:W3CDTF">2025-02-28T13:02:00Z</dcterms:modified>
</cp:coreProperties>
</file>