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r w:rsidR="00D72CB9">
        <w:rPr>
          <w:rFonts w:ascii="Times New Roman" w:hAnsi="Times New Roman"/>
          <w:color w:val="000000"/>
          <w:sz w:val="28"/>
          <w:szCs w:val="28"/>
        </w:rPr>
        <w:t xml:space="preserve">Муниципальный округ </w:t>
      </w:r>
      <w:r>
        <w:rPr>
          <w:rFonts w:ascii="Times New Roman" w:hAnsi="Times New Roman"/>
          <w:color w:val="000000"/>
          <w:sz w:val="28"/>
          <w:szCs w:val="28"/>
        </w:rPr>
        <w:t>Глазовский район</w:t>
      </w:r>
      <w:r w:rsidR="00D72CB9">
        <w:rPr>
          <w:rFonts w:ascii="Times New Roman" w:hAnsi="Times New Roman"/>
          <w:color w:val="000000"/>
          <w:sz w:val="28"/>
          <w:szCs w:val="28"/>
        </w:rPr>
        <w:t xml:space="preserve"> Удмуртской Республики</w:t>
      </w:r>
      <w:r>
        <w:rPr>
          <w:rFonts w:ascii="Times New Roman" w:hAnsi="Times New Roman"/>
          <w:color w:val="000000"/>
          <w:sz w:val="28"/>
          <w:szCs w:val="28"/>
        </w:rPr>
        <w:t>»</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993"/>
        <w:gridCol w:w="8930"/>
      </w:tblGrid>
      <w:tr w:rsidR="000541AE" w:rsidRPr="00EA4287" w:rsidTr="001C4C7F">
        <w:trPr>
          <w:trHeight w:val="600"/>
          <w:tblCellSpacing w:w="5" w:type="nil"/>
        </w:trPr>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893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r w:rsidR="00D72CB9">
              <w:rPr>
                <w:rFonts w:ascii="Times New Roman" w:hAnsi="Times New Roman"/>
                <w:bCs/>
                <w:sz w:val="24"/>
                <w:szCs w:val="24"/>
              </w:rPr>
              <w:t xml:space="preserve">Муниципальный округ </w:t>
            </w:r>
            <w:r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bCs/>
                <w:sz w:val="24"/>
                <w:szCs w:val="24"/>
              </w:rPr>
              <w:t>»</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00D72CB9">
              <w:rPr>
                <w:rFonts w:ascii="Times New Roman" w:hAnsi="Times New Roman"/>
                <w:color w:val="000000"/>
                <w:sz w:val="24"/>
                <w:szCs w:val="24"/>
              </w:rPr>
              <w:t xml:space="preserve"> </w:t>
            </w:r>
            <w:r w:rsidRPr="00EA4287">
              <w:rPr>
                <w:rFonts w:ascii="Times New Roman" w:hAnsi="Times New Roman"/>
                <w:color w:val="000000"/>
                <w:sz w:val="24"/>
                <w:szCs w:val="24"/>
              </w:rPr>
              <w:t>»</w:t>
            </w:r>
          </w:p>
        </w:tc>
      </w:tr>
      <w:tr w:rsidR="000541AE" w:rsidRPr="00EA4287" w:rsidTr="001C4C7F">
        <w:trPr>
          <w:trHeight w:val="10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proofErr w:type="gramStart"/>
            <w:r w:rsidR="00D72CB9" w:rsidRPr="00EA4287">
              <w:rPr>
                <w:rFonts w:ascii="Times New Roman" w:hAnsi="Times New Roman"/>
                <w:color w:val="000000"/>
                <w:sz w:val="24"/>
                <w:szCs w:val="24"/>
              </w:rPr>
              <w:t xml:space="preserve"> </w:t>
            </w:r>
            <w:r w:rsidRPr="00EA4287">
              <w:rPr>
                <w:rFonts w:ascii="Times New Roman" w:hAnsi="Times New Roman"/>
                <w:color w:val="000000"/>
                <w:sz w:val="24"/>
                <w:szCs w:val="24"/>
              </w:rPr>
              <w:t>,</w:t>
            </w:r>
            <w:proofErr w:type="gramEnd"/>
            <w:r w:rsidRPr="00EA4287">
              <w:rPr>
                <w:rFonts w:ascii="Times New Roman" w:hAnsi="Times New Roman"/>
                <w:color w:val="000000"/>
                <w:sz w:val="24"/>
                <w:szCs w:val="24"/>
              </w:rPr>
              <w:t xml:space="preserve"> организация планирования и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кассового обслуживания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1C4C7F">
        <w:trPr>
          <w:trHeight w:val="406"/>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прогноза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4) Кассовое обслуживание исполнения расходной части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формирование отчетности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tc>
      </w:tr>
      <w:tr w:rsidR="000541AE" w:rsidRPr="00EA4287" w:rsidTr="001C4C7F">
        <w:trPr>
          <w:trHeight w:val="1129"/>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доходам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proofErr w:type="gramStart"/>
            <w:r w:rsidRPr="00EA4287">
              <w:rPr>
                <w:rFonts w:ascii="Times New Roman" w:hAnsi="Times New Roman"/>
              </w:rPr>
              <w:t>4)Доля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xml:space="preserve">», формируемых в рамках программ </w:t>
            </w:r>
            <w:r w:rsidRPr="00EA4287">
              <w:rPr>
                <w:rFonts w:ascii="Times New Roman" w:hAnsi="Times New Roman"/>
              </w:rPr>
              <w:lastRenderedPageBreak/>
              <w:t>(муниципальных программ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программ, ведомственных целевых программ) в общем объеме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roofErr w:type="gramEnd"/>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объему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общему объему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осуществляющих финансовый контроль, в общем количестве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расходам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1C4C7F">
        <w:trPr>
          <w:trHeight w:val="6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8930" w:type="dxa"/>
            <w:tcBorders>
              <w:left w:val="single" w:sz="8" w:space="0" w:color="auto"/>
              <w:bottom w:val="single" w:sz="8" w:space="0" w:color="auto"/>
              <w:right w:val="single" w:sz="8" w:space="0" w:color="auto"/>
            </w:tcBorders>
          </w:tcPr>
          <w:p w:rsidR="000541AE" w:rsidRPr="00EA4287" w:rsidRDefault="00CA4026" w:rsidP="000E781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w:t>
            </w:r>
            <w:r w:rsidR="000E781D">
              <w:rPr>
                <w:rFonts w:ascii="Times New Roman" w:hAnsi="Times New Roman"/>
                <w:color w:val="000000"/>
                <w:sz w:val="24"/>
                <w:szCs w:val="24"/>
              </w:rPr>
              <w:t>8</w:t>
            </w:r>
            <w:r w:rsidR="000541AE" w:rsidRPr="00EA4287">
              <w:rPr>
                <w:rFonts w:ascii="Times New Roman" w:hAnsi="Times New Roman"/>
                <w:color w:val="000000"/>
                <w:sz w:val="24"/>
                <w:szCs w:val="24"/>
              </w:rPr>
              <w:t xml:space="preserve"> годы, этапы не выделяются,                                         </w:t>
            </w:r>
          </w:p>
        </w:tc>
      </w:tr>
      <w:tr w:rsidR="000541AE" w:rsidRPr="00EA4287" w:rsidTr="001C4C7F">
        <w:trPr>
          <w:trHeight w:val="2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lastRenderedPageBreak/>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893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w:t>
            </w:r>
            <w:r w:rsidR="000E781D">
              <w:rPr>
                <w:rFonts w:ascii="Times New Roman" w:hAnsi="Times New Roman"/>
                <w:color w:val="000000"/>
                <w:sz w:val="24"/>
                <w:szCs w:val="24"/>
              </w:rPr>
              <w:t>8</w:t>
            </w:r>
            <w:r w:rsidR="00CE1572">
              <w:rPr>
                <w:rFonts w:ascii="Times New Roman" w:hAnsi="Times New Roman"/>
                <w:color w:val="000000"/>
                <w:sz w:val="24"/>
                <w:szCs w:val="24"/>
              </w:rPr>
              <w:t xml:space="preserve"> годы составит</w:t>
            </w:r>
            <w:r w:rsidR="00471015">
              <w:rPr>
                <w:rFonts w:ascii="Times New Roman" w:hAnsi="Times New Roman"/>
                <w:color w:val="000000"/>
                <w:sz w:val="24"/>
                <w:szCs w:val="24"/>
              </w:rPr>
              <w:t xml:space="preserve"> </w:t>
            </w:r>
            <w:r w:rsidR="00392994">
              <w:rPr>
                <w:rFonts w:ascii="Times New Roman" w:hAnsi="Times New Roman"/>
                <w:color w:val="000000"/>
                <w:sz w:val="24"/>
                <w:szCs w:val="24"/>
              </w:rPr>
              <w:t>297736,0</w:t>
            </w:r>
            <w:r w:rsidR="00710545">
              <w:rPr>
                <w:rFonts w:ascii="Times New Roman" w:hAnsi="Times New Roman"/>
                <w:color w:val="000000"/>
                <w:sz w:val="24"/>
                <w:szCs w:val="24"/>
              </w:rPr>
              <w:t xml:space="preserve"> </w:t>
            </w:r>
            <w:r w:rsidR="00C4259A">
              <w:rPr>
                <w:rFonts w:ascii="Times New Roman" w:hAnsi="Times New Roman"/>
                <w:color w:val="000000"/>
                <w:sz w:val="24"/>
                <w:szCs w:val="24"/>
              </w:rPr>
              <w:t>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8615"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70"/>
              <w:gridCol w:w="521"/>
              <w:gridCol w:w="566"/>
              <w:gridCol w:w="567"/>
            </w:tblGrid>
            <w:tr w:rsidR="001C4C7F" w:rsidRPr="000B04F0" w:rsidTr="001C4C7F">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1C4C7F" w:rsidRPr="000D6DD4" w:rsidRDefault="001C4C7F" w:rsidP="00D72CB9">
                  <w:pPr>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2024</w:t>
                  </w:r>
                </w:p>
              </w:tc>
              <w:tc>
                <w:tcPr>
                  <w:tcW w:w="570"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A5293C">
                  <w:pPr>
                    <w:spacing w:before="40" w:after="40"/>
                    <w:jc w:val="center"/>
                    <w:rPr>
                      <w:rFonts w:ascii="Times New Roman" w:hAnsi="Times New Roman"/>
                      <w:sz w:val="14"/>
                      <w:szCs w:val="14"/>
                    </w:rPr>
                  </w:pPr>
                  <w:r>
                    <w:rPr>
                      <w:rFonts w:ascii="Times New Roman" w:hAnsi="Times New Roman"/>
                      <w:sz w:val="14"/>
                      <w:szCs w:val="14"/>
                    </w:rPr>
                    <w:t>2025</w:t>
                  </w:r>
                </w:p>
              </w:tc>
              <w:tc>
                <w:tcPr>
                  <w:tcW w:w="5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2026</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2028</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1C4C7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DE33DD" w:rsidP="00445A1A">
                  <w:pPr>
                    <w:spacing w:before="40" w:after="40"/>
                    <w:jc w:val="right"/>
                    <w:rPr>
                      <w:rFonts w:ascii="Times New Roman" w:hAnsi="Times New Roman"/>
                      <w:sz w:val="16"/>
                      <w:szCs w:val="16"/>
                    </w:rPr>
                  </w:pPr>
                  <w:r>
                    <w:rPr>
                      <w:rFonts w:ascii="Times New Roman" w:hAnsi="Times New Roman"/>
                      <w:sz w:val="16"/>
                      <w:szCs w:val="16"/>
                    </w:rPr>
                    <w:t>8038,9</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3554A3" w:rsidP="00445A1A">
                  <w:pPr>
                    <w:spacing w:before="40" w:after="40"/>
                    <w:jc w:val="right"/>
                    <w:rPr>
                      <w:rFonts w:ascii="Times New Roman" w:hAnsi="Times New Roman"/>
                      <w:sz w:val="16"/>
                      <w:szCs w:val="16"/>
                    </w:rPr>
                  </w:pPr>
                  <w:r>
                    <w:rPr>
                      <w:rFonts w:ascii="Times New Roman" w:hAnsi="Times New Roman"/>
                      <w:sz w:val="16"/>
                      <w:szCs w:val="16"/>
                    </w:rPr>
                    <w:t>9214,9</w:t>
                  </w:r>
                </w:p>
              </w:tc>
              <w:tc>
                <w:tcPr>
                  <w:tcW w:w="570" w:type="dxa"/>
                  <w:tcBorders>
                    <w:top w:val="single" w:sz="4" w:space="0" w:color="auto"/>
                    <w:bottom w:val="single" w:sz="4" w:space="0" w:color="auto"/>
                    <w:right w:val="single" w:sz="4" w:space="0" w:color="auto"/>
                  </w:tcBorders>
                  <w:shd w:val="clear" w:color="000000" w:fill="FFFFFF"/>
                </w:tcPr>
                <w:p w:rsidR="001C4C7F" w:rsidRPr="00FD7BCF" w:rsidRDefault="00392994" w:rsidP="003554A3">
                  <w:pPr>
                    <w:spacing w:before="40" w:after="40"/>
                    <w:jc w:val="right"/>
                    <w:rPr>
                      <w:rFonts w:ascii="Times New Roman" w:hAnsi="Times New Roman"/>
                      <w:sz w:val="16"/>
                      <w:szCs w:val="16"/>
                    </w:rPr>
                  </w:pPr>
                  <w:r>
                    <w:rPr>
                      <w:rFonts w:ascii="Times New Roman" w:hAnsi="Times New Roman"/>
                      <w:sz w:val="16"/>
                      <w:szCs w:val="16"/>
                    </w:rPr>
                    <w:t>8927,6</w:t>
                  </w:r>
                </w:p>
              </w:tc>
              <w:tc>
                <w:tcPr>
                  <w:tcW w:w="521" w:type="dxa"/>
                  <w:tcBorders>
                    <w:top w:val="single" w:sz="4" w:space="0" w:color="auto"/>
                    <w:bottom w:val="single" w:sz="4" w:space="0" w:color="auto"/>
                    <w:right w:val="single" w:sz="4" w:space="0" w:color="auto"/>
                  </w:tcBorders>
                  <w:shd w:val="clear" w:color="000000" w:fill="FFFFFF"/>
                </w:tcPr>
                <w:p w:rsidR="001C4C7F" w:rsidRPr="00FD7BCF" w:rsidRDefault="00392994" w:rsidP="001C4C7F">
                  <w:pPr>
                    <w:spacing w:before="40" w:after="40"/>
                    <w:rPr>
                      <w:rFonts w:ascii="Times New Roman" w:hAnsi="Times New Roman"/>
                      <w:sz w:val="16"/>
                      <w:szCs w:val="16"/>
                    </w:rPr>
                  </w:pPr>
                  <w:r>
                    <w:rPr>
                      <w:rFonts w:ascii="Times New Roman" w:hAnsi="Times New Roman"/>
                      <w:sz w:val="16"/>
                      <w:szCs w:val="16"/>
                    </w:rPr>
                    <w:t>19791,0</w:t>
                  </w:r>
                </w:p>
              </w:tc>
              <w:tc>
                <w:tcPr>
                  <w:tcW w:w="566" w:type="dxa"/>
                  <w:tcBorders>
                    <w:top w:val="single" w:sz="4" w:space="0" w:color="auto"/>
                    <w:bottom w:val="single" w:sz="4" w:space="0" w:color="auto"/>
                    <w:right w:val="single" w:sz="4" w:space="0" w:color="auto"/>
                  </w:tcBorders>
                  <w:shd w:val="clear" w:color="000000" w:fill="FFFFFF"/>
                </w:tcPr>
                <w:p w:rsidR="001C4C7F" w:rsidRPr="00FD7BCF" w:rsidRDefault="00392994" w:rsidP="001C4C7F">
                  <w:pPr>
                    <w:spacing w:before="40" w:after="40"/>
                    <w:rPr>
                      <w:rFonts w:ascii="Times New Roman" w:hAnsi="Times New Roman"/>
                      <w:sz w:val="16"/>
                      <w:szCs w:val="16"/>
                    </w:rPr>
                  </w:pPr>
                  <w:r>
                    <w:rPr>
                      <w:rFonts w:ascii="Times New Roman" w:hAnsi="Times New Roman"/>
                      <w:sz w:val="16"/>
                      <w:szCs w:val="16"/>
                    </w:rPr>
                    <w:t>30765,2</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A045B7">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w:t>
                  </w:r>
                  <w:r w:rsidRPr="00A045B7">
                    <w:rPr>
                      <w:rFonts w:ascii="Times New Roman" w:hAnsi="Times New Roman"/>
                      <w:bCs/>
                      <w:sz w:val="16"/>
                      <w:szCs w:val="16"/>
                    </w:rPr>
                    <w:t>Муниципальный округ Глазовский район Удмуртской Республики</w:t>
                  </w:r>
                  <w:r w:rsidRPr="000D6DD4">
                    <w:rPr>
                      <w:rFonts w:ascii="Times New Roman" w:hAnsi="Times New Roman"/>
                      <w:sz w:val="16"/>
                      <w:szCs w:val="16"/>
                    </w:rPr>
                    <w:t>»</w:t>
                  </w:r>
                </w:p>
              </w:tc>
              <w:tc>
                <w:tcPr>
                  <w:tcW w:w="567" w:type="dxa"/>
                  <w:tcBorders>
                    <w:bottom w:val="single" w:sz="4" w:space="0" w:color="auto"/>
                    <w:right w:val="single" w:sz="4" w:space="0" w:color="auto"/>
                  </w:tcBorders>
                  <w:shd w:val="clear" w:color="000000" w:fill="FFFFFF"/>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1C4C7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DE33DD" w:rsidP="00D72CB9">
                  <w:pPr>
                    <w:spacing w:before="40" w:after="40"/>
                    <w:jc w:val="right"/>
                    <w:rPr>
                      <w:rFonts w:ascii="Times New Roman" w:hAnsi="Times New Roman"/>
                      <w:sz w:val="16"/>
                      <w:szCs w:val="16"/>
                    </w:rPr>
                  </w:pPr>
                  <w:r>
                    <w:rPr>
                      <w:rFonts w:ascii="Times New Roman" w:hAnsi="Times New Roman"/>
                      <w:sz w:val="16"/>
                      <w:szCs w:val="16"/>
                    </w:rPr>
                    <w:t>8038,9</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3554A3" w:rsidP="00445A1A">
                  <w:pPr>
                    <w:spacing w:before="40" w:after="40"/>
                    <w:jc w:val="right"/>
                    <w:rPr>
                      <w:rFonts w:ascii="Times New Roman" w:hAnsi="Times New Roman"/>
                      <w:sz w:val="16"/>
                      <w:szCs w:val="16"/>
                    </w:rPr>
                  </w:pPr>
                  <w:r>
                    <w:rPr>
                      <w:rFonts w:ascii="Times New Roman" w:hAnsi="Times New Roman"/>
                      <w:sz w:val="16"/>
                      <w:szCs w:val="16"/>
                    </w:rPr>
                    <w:t>9214,9</w:t>
                  </w:r>
                </w:p>
              </w:tc>
              <w:tc>
                <w:tcPr>
                  <w:tcW w:w="570" w:type="dxa"/>
                  <w:tcBorders>
                    <w:top w:val="single" w:sz="4" w:space="0" w:color="auto"/>
                    <w:bottom w:val="single" w:sz="4" w:space="0" w:color="auto"/>
                    <w:right w:val="single" w:sz="4" w:space="0" w:color="auto"/>
                  </w:tcBorders>
                  <w:shd w:val="clear" w:color="000000" w:fill="FFFFFF"/>
                </w:tcPr>
                <w:p w:rsidR="001C4C7F" w:rsidRPr="00FD7BCF" w:rsidRDefault="00392994" w:rsidP="003554A3">
                  <w:pPr>
                    <w:spacing w:before="40" w:after="40"/>
                    <w:jc w:val="right"/>
                    <w:rPr>
                      <w:rFonts w:ascii="Times New Roman" w:hAnsi="Times New Roman"/>
                      <w:sz w:val="16"/>
                      <w:szCs w:val="16"/>
                    </w:rPr>
                  </w:pPr>
                  <w:r>
                    <w:rPr>
                      <w:rFonts w:ascii="Times New Roman" w:hAnsi="Times New Roman"/>
                      <w:sz w:val="16"/>
                      <w:szCs w:val="16"/>
                    </w:rPr>
                    <w:t>8927,6</w:t>
                  </w:r>
                </w:p>
              </w:tc>
              <w:tc>
                <w:tcPr>
                  <w:tcW w:w="521" w:type="dxa"/>
                  <w:tcBorders>
                    <w:top w:val="single" w:sz="4" w:space="0" w:color="auto"/>
                    <w:bottom w:val="single" w:sz="4" w:space="0" w:color="auto"/>
                    <w:right w:val="single" w:sz="4" w:space="0" w:color="auto"/>
                  </w:tcBorders>
                  <w:shd w:val="clear" w:color="000000" w:fill="FFFFFF"/>
                </w:tcPr>
                <w:p w:rsidR="001C4C7F" w:rsidRPr="00FD7BCF" w:rsidRDefault="00392994" w:rsidP="001C4C7F">
                  <w:pPr>
                    <w:spacing w:before="40" w:after="40"/>
                    <w:rPr>
                      <w:rFonts w:ascii="Times New Roman" w:hAnsi="Times New Roman"/>
                      <w:sz w:val="16"/>
                      <w:szCs w:val="16"/>
                    </w:rPr>
                  </w:pPr>
                  <w:r>
                    <w:rPr>
                      <w:rFonts w:ascii="Times New Roman" w:hAnsi="Times New Roman"/>
                      <w:sz w:val="16"/>
                      <w:szCs w:val="16"/>
                    </w:rPr>
                    <w:t>19791,0</w:t>
                  </w:r>
                </w:p>
              </w:tc>
              <w:tc>
                <w:tcPr>
                  <w:tcW w:w="566" w:type="dxa"/>
                  <w:tcBorders>
                    <w:top w:val="single" w:sz="4" w:space="0" w:color="auto"/>
                    <w:bottom w:val="single" w:sz="4" w:space="0" w:color="auto"/>
                    <w:right w:val="single" w:sz="4" w:space="0" w:color="auto"/>
                  </w:tcBorders>
                  <w:shd w:val="clear" w:color="000000" w:fill="FFFFFF"/>
                </w:tcPr>
                <w:p w:rsidR="001C4C7F" w:rsidRPr="00FD7BCF" w:rsidRDefault="00392994" w:rsidP="001C4C7F">
                  <w:pPr>
                    <w:spacing w:before="40" w:after="40"/>
                    <w:rPr>
                      <w:rFonts w:ascii="Times New Roman" w:hAnsi="Times New Roman"/>
                      <w:sz w:val="16"/>
                      <w:szCs w:val="16"/>
                    </w:rPr>
                  </w:pPr>
                  <w:r>
                    <w:rPr>
                      <w:rFonts w:ascii="Times New Roman" w:hAnsi="Times New Roman"/>
                      <w:sz w:val="16"/>
                      <w:szCs w:val="16"/>
                    </w:rPr>
                    <w:t>30765,2</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926,0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1C4C7F" w:rsidRPr="00A7608F" w:rsidRDefault="001C4C7F"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67" w:type="dxa"/>
                  <w:tcBorders>
                    <w:bottom w:val="single" w:sz="4" w:space="0" w:color="auto"/>
                    <w:right w:val="single" w:sz="4" w:space="0" w:color="auto"/>
                  </w:tcBorders>
                  <w:shd w:val="clear" w:color="000000" w:fill="FFFFFF"/>
                </w:tcPr>
                <w:p w:rsidR="001C4C7F" w:rsidRPr="00A7608F" w:rsidRDefault="001C4C7F" w:rsidP="00861F21">
                  <w:pPr>
                    <w:rPr>
                      <w:rFonts w:ascii="Times New Roman" w:hAnsi="Times New Roman"/>
                      <w:sz w:val="16"/>
                      <w:szCs w:val="16"/>
                    </w:rPr>
                  </w:pPr>
                  <w:r w:rsidRPr="00A7608F">
                    <w:rPr>
                      <w:rFonts w:ascii="Times New Roman" w:hAnsi="Times New Roman"/>
                      <w:sz w:val="16"/>
                      <w:szCs w:val="16"/>
                    </w:rPr>
                    <w:t>9</w:t>
                  </w:r>
                  <w:r>
                    <w:rPr>
                      <w:rFonts w:ascii="Times New Roman" w:hAnsi="Times New Roman"/>
                      <w:sz w:val="16"/>
                      <w:szCs w:val="16"/>
                    </w:rPr>
                    <w:t>66</w:t>
                  </w: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A7608F" w:rsidRDefault="001C4C7F" w:rsidP="00861F21">
                  <w:pPr>
                    <w:rPr>
                      <w:rFonts w:ascii="Times New Roman" w:hAnsi="Times New Roman"/>
                      <w:sz w:val="16"/>
                      <w:szCs w:val="16"/>
                    </w:rPr>
                  </w:pP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Pr>
                      <w:rFonts w:ascii="Times New Roman" w:hAnsi="Times New Roman"/>
                      <w:sz w:val="16"/>
                      <w:szCs w:val="16"/>
                    </w:rPr>
                    <w:t>0</w:t>
                  </w:r>
                </w:p>
              </w:tc>
              <w:tc>
                <w:tcPr>
                  <w:tcW w:w="570" w:type="dxa"/>
                  <w:tcBorders>
                    <w:bottom w:val="single" w:sz="4" w:space="0" w:color="auto"/>
                    <w:right w:val="single" w:sz="4" w:space="0" w:color="auto"/>
                  </w:tcBorders>
                  <w:shd w:val="clear" w:color="000000" w:fill="FFFFFF"/>
                </w:tcPr>
                <w:p w:rsidR="001C4C7F" w:rsidRPr="00FD7BCF" w:rsidRDefault="001C4C7F" w:rsidP="00A5293C">
                  <w:pPr>
                    <w:rPr>
                      <w:rFonts w:ascii="Times New Roman" w:hAnsi="Times New Roman"/>
                      <w:sz w:val="16"/>
                      <w:szCs w:val="16"/>
                    </w:rPr>
                  </w:pPr>
                  <w:r>
                    <w:rPr>
                      <w:rFonts w:ascii="Times New Roman" w:hAnsi="Times New Roman"/>
                      <w:sz w:val="16"/>
                      <w:szCs w:val="16"/>
                    </w:rPr>
                    <w:t>0</w:t>
                  </w:r>
                </w:p>
              </w:tc>
              <w:tc>
                <w:tcPr>
                  <w:tcW w:w="521" w:type="dxa"/>
                  <w:tcBorders>
                    <w:bottom w:val="single" w:sz="4" w:space="0" w:color="auto"/>
                    <w:right w:val="single" w:sz="4" w:space="0" w:color="auto"/>
                  </w:tcBorders>
                  <w:shd w:val="clear" w:color="000000" w:fill="FFFFFF"/>
                </w:tcPr>
                <w:p w:rsidR="001C4C7F" w:rsidRPr="00FD7BCF" w:rsidRDefault="001C4C7F" w:rsidP="00FE52BD">
                  <w:pPr>
                    <w:rPr>
                      <w:rFonts w:ascii="Times New Roman" w:hAnsi="Times New Roman"/>
                      <w:sz w:val="16"/>
                      <w:szCs w:val="16"/>
                    </w:rPr>
                  </w:pPr>
                  <w:r>
                    <w:rPr>
                      <w:rFonts w:ascii="Times New Roman" w:hAnsi="Times New Roman"/>
                      <w:sz w:val="16"/>
                      <w:szCs w:val="16"/>
                    </w:rPr>
                    <w:t>0</w:t>
                  </w:r>
                </w:p>
              </w:tc>
              <w:tc>
                <w:tcPr>
                  <w:tcW w:w="566" w:type="dxa"/>
                  <w:tcBorders>
                    <w:bottom w:val="single" w:sz="4" w:space="0" w:color="auto"/>
                    <w:right w:val="single" w:sz="4" w:space="0" w:color="auto"/>
                  </w:tcBorders>
                  <w:shd w:val="clear" w:color="000000" w:fill="FFFFFF"/>
                </w:tcPr>
                <w:p w:rsidR="001C4C7F" w:rsidRPr="00FD7BCF" w:rsidRDefault="008F2EBC" w:rsidP="001C4C7F">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8F2EBC" w:rsidP="001C4C7F">
                  <w:pPr>
                    <w:rPr>
                      <w:rFonts w:ascii="Times New Roman" w:hAnsi="Times New Roman"/>
                      <w:sz w:val="16"/>
                      <w:szCs w:val="16"/>
                    </w:rPr>
                  </w:pPr>
                  <w:r>
                    <w:rPr>
                      <w:rFonts w:ascii="Times New Roman" w:hAnsi="Times New Roman"/>
                      <w:sz w:val="16"/>
                      <w:szCs w:val="16"/>
                    </w:rPr>
                    <w:t>0</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1C4C7F" w:rsidRPr="00FD7BCF" w:rsidRDefault="001C4C7F" w:rsidP="00867566">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71,0</w:t>
                  </w:r>
                </w:p>
              </w:tc>
              <w:tc>
                <w:tcPr>
                  <w:tcW w:w="567" w:type="dxa"/>
                  <w:tcBorders>
                    <w:bottom w:val="single" w:sz="4" w:space="0" w:color="auto"/>
                    <w:right w:val="single" w:sz="4" w:space="0" w:color="auto"/>
                  </w:tcBorders>
                  <w:shd w:val="clear" w:color="000000" w:fill="FFFFFF"/>
                </w:tcPr>
                <w:p w:rsidR="001C4C7F" w:rsidRPr="00FD7BCF" w:rsidRDefault="00392994"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317,7</w:t>
                  </w:r>
                </w:p>
              </w:tc>
              <w:tc>
                <w:tcPr>
                  <w:tcW w:w="570" w:type="dxa"/>
                  <w:tcBorders>
                    <w:bottom w:val="single" w:sz="4" w:space="0" w:color="auto"/>
                    <w:right w:val="single" w:sz="4" w:space="0" w:color="auto"/>
                  </w:tcBorders>
                  <w:shd w:val="clear" w:color="000000" w:fill="FFFFFF"/>
                </w:tcPr>
                <w:p w:rsidR="001C4C7F" w:rsidRPr="00FD7BCF" w:rsidRDefault="001C4C7F" w:rsidP="00A5293C">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21" w:type="dxa"/>
                  <w:tcBorders>
                    <w:bottom w:val="single" w:sz="4" w:space="0" w:color="auto"/>
                    <w:right w:val="single" w:sz="4" w:space="0" w:color="auto"/>
                  </w:tcBorders>
                  <w:shd w:val="clear" w:color="000000" w:fill="FFFFFF"/>
                </w:tcPr>
                <w:p w:rsidR="001C4C7F" w:rsidRPr="00FD7BCF" w:rsidRDefault="001C4C7F" w:rsidP="00FE52BD">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6" w:type="dxa"/>
                  <w:tcBorders>
                    <w:bottom w:val="single" w:sz="4" w:space="0" w:color="auto"/>
                    <w:right w:val="single" w:sz="4" w:space="0" w:color="auto"/>
                  </w:tcBorders>
                  <w:shd w:val="clear" w:color="000000" w:fill="FFFFFF"/>
                </w:tcPr>
                <w:p w:rsidR="001C4C7F" w:rsidRPr="00FD7BCF" w:rsidRDefault="008F2EBC" w:rsidP="001C4C7F">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1C4C7F" w:rsidRPr="00FD7BCF" w:rsidRDefault="008F2EBC" w:rsidP="001C4C7F">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 xml:space="preserve">субвенции из бюджетов </w:t>
                  </w:r>
                  <w:r w:rsidRPr="000D6DD4">
                    <w:rPr>
                      <w:rFonts w:ascii="Times New Roman" w:hAnsi="Times New Roman"/>
                      <w:sz w:val="16"/>
                      <w:szCs w:val="16"/>
                    </w:rPr>
                    <w:lastRenderedPageBreak/>
                    <w:t>поселений</w:t>
                  </w:r>
                </w:p>
              </w:tc>
              <w:tc>
                <w:tcPr>
                  <w:tcW w:w="567" w:type="dxa"/>
                  <w:tcBorders>
                    <w:bottom w:val="single" w:sz="4" w:space="0" w:color="auto"/>
                    <w:right w:val="single" w:sz="4" w:space="0" w:color="auto"/>
                  </w:tcBorders>
                  <w:shd w:val="clear" w:color="000000" w:fill="FFFFFF"/>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lastRenderedPageBreak/>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67" w:type="dxa"/>
                  <w:tcBorders>
                    <w:bottom w:val="single" w:sz="4" w:space="0" w:color="auto"/>
                    <w:right w:val="single" w:sz="4" w:space="0" w:color="auto"/>
                  </w:tcBorders>
                  <w:shd w:val="clear" w:color="000000" w:fill="FFFFFF"/>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1C4C7F">
        <w:trPr>
          <w:trHeight w:val="831"/>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893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xml:space="preserve">»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r w:rsidR="007655F2">
              <w:rPr>
                <w:rFonts w:ascii="Times New Roman" w:hAnsi="Times New Roman"/>
                <w:bCs/>
                <w:sz w:val="24"/>
                <w:szCs w:val="24"/>
              </w:rPr>
              <w:t xml:space="preserve">Муниципальный </w:t>
            </w:r>
            <w:r w:rsidR="007655F2">
              <w:rPr>
                <w:rFonts w:ascii="Times New Roman" w:hAnsi="Times New Roman"/>
                <w:bCs/>
                <w:sz w:val="24"/>
                <w:szCs w:val="24"/>
              </w:rPr>
              <w:lastRenderedPageBreak/>
              <w:t xml:space="preserve">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(не более 10 процентов к общему объему предоставленных муниципальным образованием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11)Соблюдение ограничений по объему заимствований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w:t>
            </w:r>
            <w:proofErr w:type="gramEnd"/>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ведомственных целевых программ), в 202</w:t>
            </w:r>
            <w:r w:rsidR="00A5293C">
              <w:rPr>
                <w:rFonts w:ascii="Times New Roman" w:hAnsi="Times New Roman"/>
              </w:rPr>
              <w:t>5</w:t>
            </w:r>
            <w:r w:rsidRPr="00EA4287">
              <w:rPr>
                <w:rFonts w:ascii="Times New Roman" w:hAnsi="Times New Roman"/>
              </w:rPr>
              <w:t xml:space="preserve"> году составит 95,0 процента в расходах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7655F2">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00236548" w:rsidRPr="00EA4287">
              <w:rPr>
                <w:rFonts w:ascii="Times New Roman" w:hAnsi="Times New Roman"/>
              </w:rPr>
              <w:t xml:space="preserve">»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w:t>
      </w:r>
      <w:r w:rsidRPr="001277AD">
        <w:rPr>
          <w:rFonts w:ascii="Times New Roman" w:hAnsi="Times New Roman"/>
          <w:color w:val="000000"/>
          <w:sz w:val="24"/>
          <w:szCs w:val="24"/>
        </w:rPr>
        <w:lastRenderedPageBreak/>
        <w:t>«Положение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Безвозмездные поступления, </w:t>
            </w:r>
            <w:r w:rsidRPr="00EA4287">
              <w:rPr>
                <w:rFonts w:ascii="Times New Roman" w:hAnsi="Times New Roman"/>
                <w:color w:val="000000"/>
                <w:sz w:val="20"/>
                <w:szCs w:val="20"/>
              </w:rPr>
              <w:lastRenderedPageBreak/>
              <w:t>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lastRenderedPageBreak/>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недостаточный контроль за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392994"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Приоритеты государственной бюджетной политики определены в следующих стратегических и программных документах Российской Федерации, Удмуртской </w:t>
      </w:r>
      <w:r w:rsidRPr="006A5A86">
        <w:rPr>
          <w:rFonts w:ascii="Times New Roman" w:hAnsi="Times New Roman"/>
          <w:sz w:val="24"/>
          <w:szCs w:val="24"/>
        </w:rPr>
        <w:lastRenderedPageBreak/>
        <w:t>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392994"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392994"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(утверждена постановлением Правительства Российской Федерации от 15 апреля 2014 года N 310);</w:t>
      </w:r>
    </w:p>
    <w:p w:rsidR="000541AE" w:rsidRPr="006A5A86" w:rsidRDefault="00392994"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8) финансовое обеспечение муниципальных услуг на основе муниципального </w:t>
      </w:r>
      <w:r w:rsidRPr="00EF1527">
        <w:rPr>
          <w:rFonts w:ascii="Times New Roman" w:hAnsi="Times New Roman"/>
          <w:sz w:val="24"/>
          <w:szCs w:val="24"/>
        </w:rPr>
        <w:lastRenderedPageBreak/>
        <w:t>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переориентацию на контроль за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уровня ответственности главных администраторов доходов бюджета </w:t>
      </w:r>
      <w:r w:rsidRPr="00EF1527">
        <w:rPr>
          <w:rFonts w:ascii="Times New Roman" w:hAnsi="Times New Roman"/>
          <w:sz w:val="24"/>
          <w:szCs w:val="24"/>
        </w:rPr>
        <w:lastRenderedPageBreak/>
        <w:t>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ормативно-методическое обеспечение и осуществление финансового контроля за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)К</w:t>
      </w:r>
      <w:r w:rsidRPr="00550735">
        <w:rPr>
          <w:rFonts w:ascii="Times New Roman" w:hAnsi="Times New Roman"/>
          <w:color w:val="000000"/>
          <w:sz w:val="24"/>
          <w:szCs w:val="24"/>
        </w:rPr>
        <w:t>онтроль за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392994"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0E781D">
        <w:rPr>
          <w:rFonts w:ascii="Times New Roman" w:hAnsi="Times New Roman"/>
          <w:color w:val="000000"/>
          <w:sz w:val="24"/>
          <w:szCs w:val="24"/>
        </w:rPr>
        <w:t>8</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lastRenderedPageBreak/>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w:t>
      </w:r>
      <w:r w:rsidRPr="001277AD">
        <w:rPr>
          <w:rFonts w:ascii="Times New Roman" w:hAnsi="Times New Roman"/>
          <w:color w:val="000000"/>
          <w:sz w:val="24"/>
          <w:szCs w:val="24"/>
        </w:rPr>
        <w:lastRenderedPageBreak/>
        <w:t xml:space="preserve">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контроль за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Положении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392994"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lastRenderedPageBreak/>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об их исполнении.</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r w:rsidRPr="00D2046D">
        <w:rPr>
          <w:bCs/>
        </w:rPr>
        <w:t>муници</w:t>
      </w:r>
      <w:r>
        <w:rPr>
          <w:bCs/>
        </w:rPr>
        <w:t>-</w:t>
      </w:r>
      <w:r w:rsidRPr="00D2046D">
        <w:rPr>
          <w:bCs/>
        </w:rPr>
        <w:t>пального</w:t>
      </w:r>
      <w:proofErr w:type="spell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w:t>
      </w:r>
      <w:r w:rsidRPr="001277AD">
        <w:rPr>
          <w:rFonts w:ascii="Times New Roman" w:hAnsi="Times New Roman"/>
          <w:color w:val="000000"/>
          <w:sz w:val="24"/>
          <w:szCs w:val="24"/>
        </w:rPr>
        <w:lastRenderedPageBreak/>
        <w:t xml:space="preserve">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392994"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xml:space="preserve">№ 372, 30.09.2010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муниципального образования «Глазовский район», по осуществлению органами местного самоуправления полномочий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контроль за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392994"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r w:rsidR="006D11E6">
        <w:rPr>
          <w:rFonts w:ascii="Times New Roman" w:hAnsi="Times New Roman"/>
          <w:bCs/>
          <w:sz w:val="24"/>
          <w:szCs w:val="24"/>
        </w:rPr>
        <w:t xml:space="preserve">Муниципальный округ </w:t>
      </w:r>
      <w:r w:rsidR="006D11E6" w:rsidRPr="00EA4287">
        <w:rPr>
          <w:rFonts w:ascii="Times New Roman" w:hAnsi="Times New Roman"/>
          <w:bCs/>
          <w:sz w:val="24"/>
          <w:szCs w:val="24"/>
        </w:rPr>
        <w:t>Глазовский район</w:t>
      </w:r>
      <w:r w:rsidR="006D11E6">
        <w:rPr>
          <w:rFonts w:ascii="Times New Roman" w:hAnsi="Times New Roman"/>
          <w:bCs/>
          <w:sz w:val="24"/>
          <w:szCs w:val="24"/>
        </w:rPr>
        <w:t xml:space="preserve"> Удмуртской Республики</w:t>
      </w:r>
      <w:r w:rsidRPr="00B33485">
        <w:rPr>
          <w:rFonts w:ascii="Times New Roman" w:hAnsi="Times New Roman"/>
          <w:color w:val="000000"/>
          <w:sz w:val="24"/>
          <w:szCs w:val="24"/>
        </w:rPr>
        <w:t xml:space="preserve">» составит </w:t>
      </w:r>
      <w:r w:rsidR="00392994">
        <w:rPr>
          <w:rFonts w:ascii="Times New Roman" w:hAnsi="Times New Roman"/>
          <w:color w:val="000000"/>
          <w:sz w:val="24"/>
          <w:szCs w:val="24"/>
        </w:rPr>
        <w:t>297736,0</w:t>
      </w:r>
      <w:bookmarkStart w:id="9" w:name="_GoBack"/>
      <w:bookmarkEnd w:id="9"/>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471015">
        <w:rPr>
          <w:rFonts w:ascii="Times New Roman" w:hAnsi="Times New Roman"/>
          <w:color w:val="000000"/>
          <w:sz w:val="24"/>
          <w:szCs w:val="24"/>
        </w:rPr>
        <w:t>20221,3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w:t>
      </w:r>
      <w:r w:rsidR="007D7E53">
        <w:rPr>
          <w:rFonts w:ascii="Times New Roman" w:hAnsi="Times New Roman"/>
          <w:color w:val="000000"/>
          <w:sz w:val="24"/>
          <w:szCs w:val="24"/>
        </w:rPr>
        <w:t>7</w:t>
      </w:r>
      <w:r w:rsidR="00710545">
        <w:rPr>
          <w:rFonts w:ascii="Times New Roman" w:hAnsi="Times New Roman"/>
          <w:color w:val="000000"/>
          <w:sz w:val="24"/>
          <w:szCs w:val="24"/>
        </w:rPr>
        <w:t>261,0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2023 году – </w:t>
      </w:r>
      <w:r w:rsidR="000E781D">
        <w:rPr>
          <w:rFonts w:ascii="Times New Roman" w:hAnsi="Times New Roman"/>
          <w:color w:val="000000"/>
          <w:sz w:val="24"/>
          <w:szCs w:val="24"/>
        </w:rPr>
        <w:t>8038,9</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570F2A"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2024 году – </w:t>
      </w:r>
      <w:r w:rsidR="003554A3">
        <w:rPr>
          <w:rFonts w:ascii="Times New Roman" w:hAnsi="Times New Roman"/>
          <w:color w:val="000000"/>
          <w:sz w:val="24"/>
          <w:szCs w:val="24"/>
        </w:rPr>
        <w:t>9214,9</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sidR="00570F2A">
        <w:rPr>
          <w:rFonts w:ascii="Times New Roman" w:hAnsi="Times New Roman"/>
          <w:color w:val="000000"/>
          <w:sz w:val="24"/>
          <w:szCs w:val="24"/>
        </w:rPr>
        <w:t>;</w:t>
      </w:r>
    </w:p>
    <w:p w:rsidR="00570F2A" w:rsidRDefault="00570F2A" w:rsidP="00570F2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2025 году – </w:t>
      </w:r>
      <w:r w:rsidR="00392994">
        <w:rPr>
          <w:rFonts w:ascii="Times New Roman" w:hAnsi="Times New Roman"/>
          <w:color w:val="000000"/>
          <w:sz w:val="24"/>
          <w:szCs w:val="24"/>
        </w:rPr>
        <w:t xml:space="preserve">8927,6 </w:t>
      </w:r>
      <w:r w:rsidRPr="00EA4287">
        <w:rPr>
          <w:rFonts w:ascii="Times New Roman" w:hAnsi="Times New Roman"/>
          <w:color w:val="000000"/>
          <w:sz w:val="24"/>
          <w:szCs w:val="24"/>
        </w:rPr>
        <w:t>тыс. рублей</w:t>
      </w:r>
      <w:r w:rsidR="00FE52BD">
        <w:rPr>
          <w:rFonts w:ascii="Times New Roman" w:hAnsi="Times New Roman"/>
          <w:color w:val="000000"/>
          <w:sz w:val="24"/>
          <w:szCs w:val="24"/>
        </w:rPr>
        <w:t>;</w:t>
      </w:r>
    </w:p>
    <w:p w:rsidR="00570F2A" w:rsidRDefault="00FE52BD" w:rsidP="00570F2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2026 году – </w:t>
      </w:r>
      <w:r w:rsidR="00392994">
        <w:rPr>
          <w:rFonts w:ascii="Times New Roman" w:hAnsi="Times New Roman"/>
          <w:color w:val="000000"/>
          <w:sz w:val="24"/>
          <w:szCs w:val="24"/>
        </w:rPr>
        <w:t>19791,0</w:t>
      </w:r>
      <w:r>
        <w:rPr>
          <w:rFonts w:ascii="Times New Roman" w:hAnsi="Times New Roman"/>
          <w:color w:val="000000"/>
          <w:sz w:val="24"/>
          <w:szCs w:val="24"/>
        </w:rPr>
        <w:t xml:space="preserve"> тыс. рублей</w:t>
      </w:r>
      <w:r w:rsidR="000E781D">
        <w:rPr>
          <w:rFonts w:ascii="Times New Roman" w:hAnsi="Times New Roman"/>
          <w:color w:val="000000"/>
          <w:sz w:val="24"/>
          <w:szCs w:val="24"/>
        </w:rPr>
        <w:t>;</w:t>
      </w:r>
    </w:p>
    <w:p w:rsidR="00C164F7" w:rsidRDefault="000E781D"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2027 году </w:t>
      </w:r>
      <w:r w:rsidR="00392994">
        <w:rPr>
          <w:rFonts w:ascii="Times New Roman" w:hAnsi="Times New Roman"/>
          <w:color w:val="000000"/>
          <w:sz w:val="24"/>
          <w:szCs w:val="24"/>
        </w:rPr>
        <w:t>–</w:t>
      </w:r>
      <w:r>
        <w:rPr>
          <w:rFonts w:ascii="Times New Roman" w:hAnsi="Times New Roman"/>
          <w:color w:val="000000"/>
          <w:sz w:val="24"/>
          <w:szCs w:val="24"/>
        </w:rPr>
        <w:t xml:space="preserve"> </w:t>
      </w:r>
      <w:r w:rsidR="00392994">
        <w:rPr>
          <w:rFonts w:ascii="Times New Roman" w:hAnsi="Times New Roman"/>
          <w:color w:val="000000"/>
          <w:sz w:val="24"/>
          <w:szCs w:val="24"/>
        </w:rPr>
        <w:t>30765,2</w:t>
      </w:r>
      <w:r>
        <w:rPr>
          <w:rFonts w:ascii="Times New Roman" w:hAnsi="Times New Roman"/>
          <w:color w:val="000000"/>
          <w:sz w:val="24"/>
          <w:szCs w:val="24"/>
        </w:rPr>
        <w:t xml:space="preserve"> тыс. рублей; </w:t>
      </w:r>
    </w:p>
    <w:p w:rsidR="000E781D" w:rsidRDefault="000E781D"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2028 году - 29716,3 тыс. рублей</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w:t>
      </w:r>
      <w:r w:rsidRPr="00B33485">
        <w:rPr>
          <w:rFonts w:ascii="Times New Roman" w:hAnsi="Times New Roman"/>
          <w:sz w:val="24"/>
          <w:szCs w:val="24"/>
        </w:rPr>
        <w:lastRenderedPageBreak/>
        <w:t>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w:t>
      </w:r>
      <w:r w:rsidRPr="00B33485">
        <w:rPr>
          <w:rFonts w:ascii="Times New Roman" w:hAnsi="Times New Roman"/>
          <w:color w:val="000000"/>
          <w:sz w:val="24"/>
          <w:szCs w:val="24"/>
        </w:rPr>
        <w:lastRenderedPageBreak/>
        <w:t>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570F2A">
        <w:rPr>
          <w:rFonts w:ascii="Times New Roman" w:hAnsi="Times New Roman"/>
          <w:sz w:val="24"/>
          <w:szCs w:val="24"/>
        </w:rPr>
        <w:t>5</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B8"/>
    <w:rsid w:val="000541AE"/>
    <w:rsid w:val="000663B8"/>
    <w:rsid w:val="00066FE1"/>
    <w:rsid w:val="00086B65"/>
    <w:rsid w:val="00094024"/>
    <w:rsid w:val="000D6DD4"/>
    <w:rsid w:val="000E466F"/>
    <w:rsid w:val="000E781D"/>
    <w:rsid w:val="001136B1"/>
    <w:rsid w:val="001137BE"/>
    <w:rsid w:val="001277AD"/>
    <w:rsid w:val="00127910"/>
    <w:rsid w:val="00142869"/>
    <w:rsid w:val="00170177"/>
    <w:rsid w:val="001725FA"/>
    <w:rsid w:val="0017654E"/>
    <w:rsid w:val="00176C70"/>
    <w:rsid w:val="001B06B7"/>
    <w:rsid w:val="001C4C7F"/>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56047"/>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554A3"/>
    <w:rsid w:val="00373764"/>
    <w:rsid w:val="00392994"/>
    <w:rsid w:val="003B343D"/>
    <w:rsid w:val="003C46AD"/>
    <w:rsid w:val="003D03C3"/>
    <w:rsid w:val="003D663F"/>
    <w:rsid w:val="003E1E19"/>
    <w:rsid w:val="003E66BF"/>
    <w:rsid w:val="003F2893"/>
    <w:rsid w:val="003F6A9E"/>
    <w:rsid w:val="00425F23"/>
    <w:rsid w:val="00430845"/>
    <w:rsid w:val="00437886"/>
    <w:rsid w:val="00437D2A"/>
    <w:rsid w:val="00440C0A"/>
    <w:rsid w:val="00445A1A"/>
    <w:rsid w:val="004510A9"/>
    <w:rsid w:val="004549E3"/>
    <w:rsid w:val="00460C86"/>
    <w:rsid w:val="00465AED"/>
    <w:rsid w:val="00471015"/>
    <w:rsid w:val="004817C5"/>
    <w:rsid w:val="004A2A89"/>
    <w:rsid w:val="004A2F3E"/>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70F2A"/>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D11E6"/>
    <w:rsid w:val="006F6349"/>
    <w:rsid w:val="00701EDE"/>
    <w:rsid w:val="00710545"/>
    <w:rsid w:val="00730EDB"/>
    <w:rsid w:val="007356DF"/>
    <w:rsid w:val="007655F2"/>
    <w:rsid w:val="007B27FC"/>
    <w:rsid w:val="007D7E53"/>
    <w:rsid w:val="007E5D19"/>
    <w:rsid w:val="00812928"/>
    <w:rsid w:val="00816A98"/>
    <w:rsid w:val="00817012"/>
    <w:rsid w:val="008265BB"/>
    <w:rsid w:val="00847015"/>
    <w:rsid w:val="008564EE"/>
    <w:rsid w:val="00861F21"/>
    <w:rsid w:val="00865237"/>
    <w:rsid w:val="00867566"/>
    <w:rsid w:val="00870B9B"/>
    <w:rsid w:val="00874957"/>
    <w:rsid w:val="00877268"/>
    <w:rsid w:val="00887235"/>
    <w:rsid w:val="00897D8E"/>
    <w:rsid w:val="008B259D"/>
    <w:rsid w:val="008B7E70"/>
    <w:rsid w:val="008D0508"/>
    <w:rsid w:val="008F2EBC"/>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045B7"/>
    <w:rsid w:val="00A10752"/>
    <w:rsid w:val="00A10952"/>
    <w:rsid w:val="00A17A44"/>
    <w:rsid w:val="00A24A5A"/>
    <w:rsid w:val="00A36B1D"/>
    <w:rsid w:val="00A41A30"/>
    <w:rsid w:val="00A4567A"/>
    <w:rsid w:val="00A505AD"/>
    <w:rsid w:val="00A5293C"/>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56C41"/>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11F6"/>
    <w:rsid w:val="00D33DBD"/>
    <w:rsid w:val="00D345FF"/>
    <w:rsid w:val="00D4604A"/>
    <w:rsid w:val="00D50882"/>
    <w:rsid w:val="00D60DF8"/>
    <w:rsid w:val="00D70586"/>
    <w:rsid w:val="00D72CB9"/>
    <w:rsid w:val="00D7359B"/>
    <w:rsid w:val="00D74783"/>
    <w:rsid w:val="00DC6350"/>
    <w:rsid w:val="00DC74D8"/>
    <w:rsid w:val="00DD0D1C"/>
    <w:rsid w:val="00DE1E88"/>
    <w:rsid w:val="00DE33DD"/>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 w:val="00FE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26</Pages>
  <Words>9189</Words>
  <Characters>81787</Characters>
  <Application>Microsoft Office Word</Application>
  <DocSecurity>0</DocSecurity>
  <Lines>681</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2025-01-28T05:39:00Z</cp:lastPrinted>
  <dcterms:created xsi:type="dcterms:W3CDTF">2024-01-19T12:12:00Z</dcterms:created>
  <dcterms:modified xsi:type="dcterms:W3CDTF">2025-02-28T12:46:00Z</dcterms:modified>
</cp:coreProperties>
</file>