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6E" w:rsidRPr="0070011A" w:rsidRDefault="000C546E" w:rsidP="000C54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011A">
        <w:rPr>
          <w:rFonts w:ascii="Times New Roman" w:hAnsi="Times New Roman" w:cs="Times New Roman"/>
          <w:b/>
          <w:sz w:val="24"/>
          <w:szCs w:val="24"/>
        </w:rPr>
        <w:t xml:space="preserve">Форма 1. </w:t>
      </w:r>
      <w:hyperlink r:id="rId5" w:history="1">
        <w:r w:rsidRPr="0070011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70011A">
        <w:rPr>
          <w:rFonts w:ascii="Times New Roman" w:hAnsi="Times New Roman" w:cs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0C546E" w:rsidRPr="0070011A" w:rsidRDefault="0074200E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0C546E" w:rsidRPr="0070011A">
          <w:rPr>
            <w:rFonts w:ascii="Times New Roman" w:hAnsi="Times New Roman" w:cs="Times New Roman"/>
            <w:b/>
            <w:sz w:val="24"/>
            <w:szCs w:val="24"/>
          </w:rPr>
          <w:t>Отчет</w:t>
        </w:r>
      </w:hyperlink>
      <w:r w:rsidR="000C546E" w:rsidRPr="0070011A">
        <w:rPr>
          <w:rFonts w:ascii="Times New Roman" w:hAnsi="Times New Roman" w:cs="Times New Roman"/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0C546E" w:rsidRPr="0070011A" w:rsidRDefault="000C546E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11A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103BE5" w:rsidRPr="0070011A">
        <w:rPr>
          <w:rFonts w:ascii="Times New Roman" w:hAnsi="Times New Roman" w:cs="Times New Roman"/>
          <w:b/>
          <w:sz w:val="24"/>
          <w:szCs w:val="24"/>
        </w:rPr>
        <w:t>2</w:t>
      </w:r>
      <w:r w:rsidR="00194FAA" w:rsidRPr="0070011A">
        <w:rPr>
          <w:rFonts w:ascii="Times New Roman" w:hAnsi="Times New Roman" w:cs="Times New Roman"/>
          <w:b/>
          <w:sz w:val="24"/>
          <w:szCs w:val="24"/>
        </w:rPr>
        <w:t>3</w:t>
      </w:r>
    </w:p>
    <w:p w:rsidR="000C546E" w:rsidRPr="0070011A" w:rsidRDefault="000C546E" w:rsidP="000C54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011A">
        <w:rPr>
          <w:rFonts w:ascii="Times New Roman" w:hAnsi="Times New Roman" w:cs="Times New Roman"/>
          <w:sz w:val="24"/>
          <w:szCs w:val="24"/>
        </w:rPr>
        <w:t xml:space="preserve">Наименование муниципальной программы  </w:t>
      </w:r>
      <w:r w:rsidRPr="0070011A">
        <w:rPr>
          <w:rFonts w:ascii="Times New Roman" w:hAnsi="Times New Roman" w:cs="Times New Roman"/>
          <w:b/>
          <w:sz w:val="24"/>
          <w:szCs w:val="24"/>
        </w:rPr>
        <w:t xml:space="preserve">«Муниципальное управление» </w:t>
      </w:r>
    </w:p>
    <w:tbl>
      <w:tblPr>
        <w:tblW w:w="15615" w:type="dxa"/>
        <w:tblInd w:w="93" w:type="dxa"/>
        <w:tblLayout w:type="fixed"/>
        <w:tblLook w:val="04A0"/>
      </w:tblPr>
      <w:tblGrid>
        <w:gridCol w:w="555"/>
        <w:gridCol w:w="27"/>
        <w:gridCol w:w="426"/>
        <w:gridCol w:w="567"/>
        <w:gridCol w:w="3543"/>
        <w:gridCol w:w="40"/>
        <w:gridCol w:w="923"/>
        <w:gridCol w:w="12"/>
        <w:gridCol w:w="1277"/>
        <w:gridCol w:w="7"/>
        <w:gridCol w:w="1276"/>
        <w:gridCol w:w="9"/>
        <w:gridCol w:w="1234"/>
        <w:gridCol w:w="36"/>
        <w:gridCol w:w="1100"/>
        <w:gridCol w:w="40"/>
        <w:gridCol w:w="1277"/>
        <w:gridCol w:w="6"/>
        <w:gridCol w:w="1277"/>
        <w:gridCol w:w="1974"/>
        <w:gridCol w:w="9"/>
      </w:tblGrid>
      <w:tr w:rsidR="008973DB" w:rsidRPr="0070011A" w:rsidTr="00AF7E0C">
        <w:trPr>
          <w:gridAfter w:val="1"/>
          <w:wAfter w:w="9" w:type="dxa"/>
          <w:trHeight w:val="600"/>
          <w:tblHeader/>
        </w:trPr>
        <w:tc>
          <w:tcPr>
            <w:tcW w:w="10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5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03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973DB" w:rsidRPr="0070011A" w:rsidTr="00AF7E0C">
        <w:trPr>
          <w:gridAfter w:val="1"/>
          <w:wAfter w:w="9" w:type="dxa"/>
          <w:trHeight w:val="390"/>
          <w:tblHeader/>
        </w:trPr>
        <w:tc>
          <w:tcPr>
            <w:tcW w:w="10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73DB" w:rsidRPr="0070011A" w:rsidTr="00AF7E0C">
        <w:trPr>
          <w:gridAfter w:val="1"/>
          <w:wAfter w:w="9" w:type="dxa"/>
          <w:trHeight w:val="585"/>
          <w:tblHeader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70011A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73DB" w:rsidRPr="0070011A" w:rsidTr="00AF7E0C">
        <w:trPr>
          <w:gridAfter w:val="1"/>
          <w:wAfter w:w="9" w:type="dxa"/>
          <w:trHeight w:val="30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1" w:type="dxa"/>
            <w:gridSpan w:val="1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«Организация муниципального управления»</w:t>
            </w:r>
          </w:p>
        </w:tc>
      </w:tr>
      <w:tr w:rsidR="00FD7EB2" w:rsidRPr="0070011A" w:rsidTr="00F71CF8">
        <w:trPr>
          <w:gridAfter w:val="1"/>
          <w:wAfter w:w="9" w:type="dxa"/>
          <w:trHeight w:val="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EB2" w:rsidRPr="0070011A" w:rsidRDefault="00FD7EB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EB2" w:rsidRPr="0070011A" w:rsidRDefault="00FD7EB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7EB2" w:rsidRPr="0070011A" w:rsidRDefault="00FD7EB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EB2" w:rsidRPr="0070011A" w:rsidRDefault="00FD7EB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 правовых актов, не противоречащих законодательству Российской Федерации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70011A" w:rsidRDefault="00FD7EB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70011A" w:rsidRDefault="00FD7EB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70011A" w:rsidRDefault="00FD7EB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70011A" w:rsidRDefault="00FD7EB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7EB2" w:rsidRPr="0070011A" w:rsidRDefault="00FD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7EB2" w:rsidRPr="0070011A" w:rsidRDefault="00FD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7EB2" w:rsidRPr="0070011A" w:rsidRDefault="00FD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D7EB2" w:rsidRPr="0070011A" w:rsidRDefault="00FD7EB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20B" w:rsidRPr="0070011A" w:rsidTr="00F71CF8">
        <w:trPr>
          <w:gridAfter w:val="1"/>
          <w:wAfter w:w="9" w:type="dxa"/>
          <w:trHeight w:val="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обращений граждан в органы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рассмотренных без нарушения сроков, установленных законодательством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-2,6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В отчетный период обращений, рассмотренных с нарушением сроков -8, всего обращений – 306</w:t>
            </w:r>
          </w:p>
        </w:tc>
      </w:tr>
      <w:tr w:rsidR="00FC120B" w:rsidRPr="0070011A" w:rsidTr="006A0F39">
        <w:trPr>
          <w:gridAfter w:val="1"/>
          <w:wAfter w:w="9" w:type="dxa"/>
          <w:trHeight w:val="6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20B" w:rsidRPr="0070011A" w:rsidRDefault="00FC120B" w:rsidP="007040C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Удовлетворенность населения деятельностью органов  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района,  в  т.ч. их  информационной открытостью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опрошенных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78,5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46E" w:rsidRPr="0070011A" w:rsidRDefault="000C546E" w:rsidP="007040C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040C2" w:rsidRPr="007001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46E" w:rsidRPr="0070011A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0011A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0011A" w:rsidRDefault="00F71CF8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2239,9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0011A" w:rsidRDefault="00144863" w:rsidP="007833B3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3264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0011A" w:rsidRDefault="0014486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3197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0011A" w:rsidRDefault="0014486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-67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0011A" w:rsidRDefault="008C269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46E" w:rsidRPr="0070011A" w:rsidRDefault="00144863" w:rsidP="0097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142,7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546E" w:rsidRPr="0070011A" w:rsidRDefault="00144863" w:rsidP="0031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муниципального округа, вошли расходы </w:t>
            </w:r>
            <w:r w:rsidR="008C2693"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сельских поселений в </w:t>
            </w:r>
            <w:proofErr w:type="spellStart"/>
            <w:r w:rsidR="008C2693" w:rsidRPr="0070011A">
              <w:rPr>
                <w:rFonts w:ascii="Times New Roman" w:hAnsi="Times New Roman" w:cs="Times New Roman"/>
                <w:sz w:val="18"/>
                <w:szCs w:val="18"/>
              </w:rPr>
              <w:t>сранении</w:t>
            </w:r>
            <w:proofErr w:type="spellEnd"/>
            <w:r w:rsidR="008C2693"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с прошлым годом</w:t>
            </w:r>
          </w:p>
          <w:p w:rsidR="008C2693" w:rsidRPr="0070011A" w:rsidRDefault="008C2693" w:rsidP="0031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органами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 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межведомственных запросов, </w:t>
            </w: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направляемых органами 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электронной форме, от общего количества направленных межведомственных запросов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+9,1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C120B" w:rsidRPr="0070011A" w:rsidRDefault="00FC12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межведомственных запросов,  направленных в электронной форме, в 2022 году -  604</w:t>
            </w:r>
          </w:p>
        </w:tc>
      </w:tr>
      <w:tr w:rsidR="00FC120B" w:rsidRPr="0070011A" w:rsidTr="006A0F39">
        <w:trPr>
          <w:gridAfter w:val="1"/>
          <w:wAfter w:w="9" w:type="dxa"/>
          <w:trHeight w:val="1075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C120B" w:rsidRPr="0070011A" w:rsidRDefault="00FC12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Все 48 муниципальных услуг размещены в ФРГУ</w:t>
            </w: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      </w:r>
            <w:proofErr w:type="gramEnd"/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-56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-40,5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C120B" w:rsidRPr="0070011A" w:rsidRDefault="0030454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Граждане предпочитают прийти лично в ОМСУ или в </w:t>
            </w:r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  <w:proofErr w:type="gram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нежели направить заявление в электронном виде.</w:t>
            </w: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</w:t>
            </w: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рекомендуемый перечень государственных и муниципальных услуг, утвержденный постановлением Правительства Российской Федерации от 27.09.2011 № 797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Все 48 муниципальных услуг оказываются через МФЦ.</w:t>
            </w: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+2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Среднее число обращений представителей </w:t>
            </w:r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бизнес-сообщества</w:t>
            </w:r>
            <w:proofErr w:type="gram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в органы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20B" w:rsidRPr="0070011A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120B" w:rsidRPr="0070011A" w:rsidRDefault="00FC120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Время ожидания в очереди при обращении заявителя в органы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 для получения государственных и муниципальных услуг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минута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4EC5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C5" w:rsidRPr="0070011A" w:rsidRDefault="00654EC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C5" w:rsidRPr="0070011A" w:rsidRDefault="00654EC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муниципальных служащих, прошедших аттестацию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. служащих, подлежащих аттестации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EC5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C5" w:rsidRPr="0070011A" w:rsidRDefault="00654EC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C5" w:rsidRPr="0070011A" w:rsidRDefault="00654EC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EC5" w:rsidRPr="0070011A" w:rsidRDefault="00654EC5" w:rsidP="007040C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вакантных должностей </w:t>
            </w: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службы, замещаемых на основе конкурса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4EC5" w:rsidRPr="0070011A" w:rsidRDefault="00654EC5" w:rsidP="00FC120B">
            <w:pPr>
              <w:pStyle w:val="Iauiue"/>
              <w:rPr>
                <w:lang w:val="ru-RU"/>
              </w:rPr>
            </w:pPr>
            <w:r w:rsidRPr="0070011A">
              <w:rPr>
                <w:lang w:val="ru-RU"/>
              </w:rPr>
              <w:t xml:space="preserve">Администрацией </w:t>
            </w:r>
            <w:proofErr w:type="spellStart"/>
            <w:r w:rsidRPr="0070011A">
              <w:rPr>
                <w:lang w:val="ru-RU"/>
              </w:rPr>
              <w:lastRenderedPageBreak/>
              <w:t>Глазовского</w:t>
            </w:r>
            <w:proofErr w:type="spellEnd"/>
            <w:r w:rsidRPr="0070011A">
              <w:rPr>
                <w:lang w:val="ru-RU"/>
              </w:rPr>
              <w:t xml:space="preserve"> района конкурс был объявлен  на замещение вакантной должности муниципальной службы – начальник территориального отдела.  </w:t>
            </w:r>
            <w:proofErr w:type="gramStart"/>
            <w:r w:rsidRPr="0070011A">
              <w:rPr>
                <w:lang w:val="ru-RU"/>
              </w:rPr>
              <w:t>В связи с отсутствием кандидатов  для участия в конкурсе на замещение</w:t>
            </w:r>
            <w:proofErr w:type="gramEnd"/>
            <w:r w:rsidRPr="0070011A">
              <w:rPr>
                <w:lang w:val="ru-RU"/>
              </w:rPr>
              <w:t xml:space="preserve"> вакантной должности муниципальной службы признан конкурс несостоявшимся</w:t>
            </w:r>
          </w:p>
        </w:tc>
      </w:tr>
      <w:tr w:rsidR="00654EC5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C5" w:rsidRPr="0070011A" w:rsidRDefault="00654EC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C5" w:rsidRPr="0070011A" w:rsidRDefault="00654EC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4EC5" w:rsidRPr="0070011A" w:rsidRDefault="00654EC5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EA8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A8" w:rsidRPr="0070011A" w:rsidRDefault="00974EA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A8" w:rsidRPr="0070011A" w:rsidRDefault="00974EA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EA8" w:rsidRPr="0070011A" w:rsidRDefault="00974EA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EA8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A8" w:rsidRPr="0070011A" w:rsidRDefault="00974EA8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A8" w:rsidRPr="0070011A" w:rsidRDefault="00974EA8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EA8" w:rsidRPr="0070011A" w:rsidRDefault="00974EA8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  </w:t>
            </w:r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подготовленных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4EA8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A8" w:rsidRPr="0070011A" w:rsidRDefault="00974EA8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A8" w:rsidRPr="0070011A" w:rsidRDefault="00974EA8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EA8" w:rsidRPr="0070011A" w:rsidRDefault="00974EA8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Не менее 10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74EA8" w:rsidRPr="0070011A" w:rsidRDefault="00974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120B" w:rsidRPr="0070011A" w:rsidTr="00F71CF8">
        <w:trPr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120B" w:rsidRPr="0070011A" w:rsidRDefault="00FC120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электронного документооборота от </w:t>
            </w: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общего документооборота органов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120B" w:rsidRPr="0070011A" w:rsidRDefault="00FC120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C120B" w:rsidRPr="0070011A" w:rsidRDefault="00FC120B" w:rsidP="00B26D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70011A" w:rsidTr="006A0F39">
        <w:trPr>
          <w:gridAfter w:val="1"/>
          <w:wAfter w:w="9" w:type="dxa"/>
          <w:trHeight w:val="81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70011A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70011A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70011A" w:rsidRDefault="007040C2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70011A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работников органов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прошедших </w:t>
            </w:r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обучение по охране</w:t>
            </w:r>
            <w:proofErr w:type="gram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труда, от общего количества работников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70011A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70011A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70011A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70011A" w:rsidRDefault="00944CCB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70011A" w:rsidRDefault="00944CCB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70011A" w:rsidRDefault="00944CCB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02C8" w:rsidRPr="0070011A" w:rsidRDefault="00944CCB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02C8" w:rsidRPr="0070011A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3DB" w:rsidRPr="0070011A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70011A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70011A" w:rsidRDefault="007040C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70011A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рабочих мест в органах местного самоуправления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прошедших специальную оценку условий труда, от общего количества рабочих мест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70011A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70011A" w:rsidRDefault="00F4602C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70011A" w:rsidRDefault="00E2669F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70011A" w:rsidRDefault="00944CC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70011A" w:rsidRDefault="00944CC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70011A" w:rsidRDefault="00944CCB" w:rsidP="00A164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70011A" w:rsidRDefault="00944CC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565F2" w:rsidRPr="0070011A" w:rsidRDefault="00D565F2" w:rsidP="00D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60BF9" w:rsidRPr="0070011A" w:rsidRDefault="00B60BF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465" w:type="dxa"/>
        <w:tblInd w:w="93" w:type="dxa"/>
        <w:tblLayout w:type="fixed"/>
        <w:tblLook w:val="04A0"/>
      </w:tblPr>
      <w:tblGrid>
        <w:gridCol w:w="701"/>
        <w:gridCol w:w="566"/>
        <w:gridCol w:w="432"/>
        <w:gridCol w:w="2004"/>
        <w:gridCol w:w="1000"/>
        <w:gridCol w:w="1573"/>
        <w:gridCol w:w="160"/>
        <w:gridCol w:w="1261"/>
        <w:gridCol w:w="1733"/>
        <w:gridCol w:w="1240"/>
        <w:gridCol w:w="1110"/>
        <w:gridCol w:w="992"/>
        <w:gridCol w:w="2693"/>
      </w:tblGrid>
      <w:tr w:rsidR="00E12A1E" w:rsidRPr="0070011A" w:rsidTr="00E12A1E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72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12A1E" w:rsidRPr="0070011A" w:rsidTr="00E12A1E">
        <w:trPr>
          <w:trHeight w:val="390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2A1E" w:rsidRPr="0070011A" w:rsidTr="00E12A1E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0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2A1E" w:rsidRPr="0070011A" w:rsidTr="00E12A1E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E12A1E" w:rsidRPr="0070011A" w:rsidTr="00E12A1E">
        <w:trPr>
          <w:trHeight w:val="46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2A1E" w:rsidRPr="0070011A" w:rsidRDefault="00E12A1E">
            <w:pPr>
              <w:pStyle w:val="ConsPlusNonformat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011A">
              <w:rPr>
                <w:rFonts w:ascii="Times New Roman" w:hAnsi="Times New Roman" w:cs="Times New Roman"/>
                <w:lang w:eastAsia="en-US"/>
              </w:rPr>
              <w:t>Объем налоговых и неналоговых  доходов консолидированного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lang w:eastAsia="en-US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lang w:eastAsia="en-US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171988,6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179858,1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188368,5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8510,4</w:t>
            </w:r>
          </w:p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</w:t>
            </w:r>
          </w:p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по 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налоговым и неналоговым  доходам </w:t>
            </w: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 на (104,7%).  </w:t>
            </w:r>
          </w:p>
        </w:tc>
      </w:tr>
      <w:tr w:rsidR="00E12A1E" w:rsidRPr="0070011A" w:rsidTr="00E12A1E">
        <w:trPr>
          <w:trHeight w:val="46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2A1E" w:rsidRPr="0070011A" w:rsidRDefault="00E12A1E">
            <w:pPr>
              <w:pStyle w:val="ConsPlusNonformat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011A">
              <w:rPr>
                <w:rFonts w:ascii="Times New Roman" w:hAnsi="Times New Roman" w:cs="Times New Roman"/>
                <w:lang w:eastAsia="en-US"/>
              </w:rPr>
              <w:t xml:space="preserve">Доля налоговых и неналоговых доходов </w:t>
            </w:r>
            <w:r w:rsidRPr="0070011A">
              <w:rPr>
                <w:rFonts w:ascii="Times New Roman" w:hAnsi="Times New Roman" w:cs="Times New Roman"/>
                <w:lang w:eastAsia="en-US"/>
              </w:rPr>
              <w:lastRenderedPageBreak/>
              <w:t>консолидированного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lang w:eastAsia="en-US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lang w:eastAsia="en-US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</w:pPr>
          </w:p>
        </w:tc>
      </w:tr>
      <w:tr w:rsidR="00E12A1E" w:rsidRPr="0070011A" w:rsidTr="00E12A1E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рассчитанное в соответствии с требованиями Бюджетного </w:t>
            </w:r>
            <w:hyperlink r:id="rId7" w:history="1">
              <w:r w:rsidRPr="0070011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кодекса</w:t>
              </w:r>
            </w:hyperlink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за 2022г. исполнен с дефицитом в сумме 17524,0 тыс. руб. </w:t>
            </w: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формируемых в рамках программ (муниципальных программ 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</w:pP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бюджет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(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муниципального  долга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</w:t>
            </w: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 объему расходов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Федерации, Удмуртской Республики)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 задолженности  по долговым обязательствам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муниципальным образованием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  <w:proofErr w:type="gram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 муниципального 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о бюджете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Низкое исполнение, в связи с недостаточностью финансовых средств местного бюджета и </w:t>
            </w: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отсутствием финансирования из республиканского бюджета. </w:t>
            </w: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числу запланированных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Проверки осуществлялись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плана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2022 г.</w:t>
            </w: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распорядителей средств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осуществляющих финансовый 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район», на которых в соответствии с законодательством 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возложены функции по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Согласно ст. 266 БК РФ главные администраторы не осуществляют внутренний финансовый контроль с 01.01.2020 года. </w:t>
            </w: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расходам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Просроченная задолженность образовалась у Администрации района-1361,3 тыс. руб., (в т. ч. 1332,0 тыс. руб.   средства республиканского бюджета, 29,3 тыс. руб. средства местного бюджета), в связи с отсутствием финансирования с республиканского бюджета. Просроченная кредиторская задолженность  по сравнению  с данными на 01.01.2022 года увеличилась на 954,6 тыс. руб.   </w:t>
            </w: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 просроченная кредиторская задолженность  по оплате труда и начислениям на оплату труда </w:t>
            </w:r>
          </w:p>
        </w:tc>
      </w:tr>
      <w:tr w:rsidR="00E12A1E" w:rsidRPr="0070011A" w:rsidTr="00E12A1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Уровень качества управления       муниципальными финансами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       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74,573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74,744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результатам мониторинга и оценки качества управления муниципальными финансами муниципальных образований в Удмуртской </w:t>
            </w: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Республике по итогам 2021 года </w:t>
            </w:r>
            <w:proofErr w:type="spellStart"/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набрал  74,744 балла (</w:t>
            </w:r>
            <w:proofErr w:type="spellStart"/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proofErr w:type="spellEnd"/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E12A1E" w:rsidRPr="0070011A" w:rsidTr="00E12A1E">
        <w:trPr>
          <w:trHeight w:val="300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</w:t>
            </w: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сбалансированности и устойчивости бюджета</w:t>
            </w:r>
          </w:p>
        </w:tc>
      </w:tr>
      <w:tr w:rsidR="00E12A1E" w:rsidRPr="0070011A" w:rsidTr="00E12A1E">
        <w:trPr>
          <w:trHeight w:val="46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2A1E" w:rsidRPr="0070011A" w:rsidRDefault="00E12A1E">
            <w:pPr>
              <w:pStyle w:val="ConsPlusNonformat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оценка качества управления муниципальными финансами 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</w:pPr>
          </w:p>
        </w:tc>
      </w:tr>
      <w:tr w:rsidR="00E12A1E" w:rsidRPr="0070011A" w:rsidTr="00E12A1E">
        <w:trPr>
          <w:trHeight w:val="46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не ниже 80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 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проведен мониторинг  за 2021 год. Средний уровень качества финансового менеджмента главных распорядителей 84,4%. Наивысший 97,7% </w:t>
            </w:r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Управления финансов Администрации МО «</w:t>
            </w:r>
            <w:proofErr w:type="spellStart"/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.Второе место занимает  Совет депутатов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третье место  МО «Октябрьское» 90,4%, 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Адамское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» 89,9%. 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Качкашурское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» 87,3%, 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Кожильское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» 87,2%, </w:t>
            </w: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Парзинское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» 85,6%,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Гулековское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» 84,8%,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Куреговское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» 84,8%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Понинское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» 84,7%, 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Ураковское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» 83,5%, 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Штанигуртское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» 81,6%</w:t>
            </w:r>
          </w:p>
          <w:p w:rsidR="00E12A1E" w:rsidRPr="0070011A" w:rsidRDefault="00E12A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МО 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район» 73,7%, МО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Верхнебогатырское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»71,6%.Наименьший показатель Управление образования Администрации муниципального образования «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67,6%.</w:t>
            </w:r>
          </w:p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</w:t>
            </w:r>
            <w:r w:rsidRPr="007001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менеджмента, </w:t>
            </w: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2022 год будет проведен в апреле 2023 года.</w:t>
            </w: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2A1E" w:rsidRPr="0070011A" w:rsidTr="00E12A1E">
        <w:trPr>
          <w:trHeight w:val="46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A1E" w:rsidRPr="0070011A" w:rsidRDefault="00E1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2A1E" w:rsidRPr="0070011A" w:rsidRDefault="00E12A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12A1E" w:rsidRPr="0070011A" w:rsidRDefault="00E12A1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преобразованием  муниципальных образований, образованных на территории </w:t>
            </w:r>
            <w:proofErr w:type="spellStart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20"/>
                <w:szCs w:val="20"/>
              </w:rPr>
              <w:t xml:space="preserve"> района Удмуртской Республики, и наделении вновь образованного муниципального образования статусом муниципального округа,</w:t>
            </w:r>
          </w:p>
          <w:p w:rsidR="00E12A1E" w:rsidRPr="0070011A" w:rsidRDefault="00E12A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01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муниципальных образований - сельских поселений не проводится.</w:t>
            </w:r>
          </w:p>
        </w:tc>
      </w:tr>
    </w:tbl>
    <w:p w:rsidR="00E12A1E" w:rsidRPr="0070011A" w:rsidRDefault="00E12A1E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330" w:type="dxa"/>
        <w:tblInd w:w="93" w:type="dxa"/>
        <w:tblLayout w:type="fixed"/>
        <w:tblLook w:val="04A0"/>
      </w:tblPr>
      <w:tblGrid>
        <w:gridCol w:w="581"/>
        <w:gridCol w:w="566"/>
        <w:gridCol w:w="766"/>
        <w:gridCol w:w="3849"/>
        <w:gridCol w:w="1023"/>
        <w:gridCol w:w="1165"/>
        <w:gridCol w:w="1134"/>
        <w:gridCol w:w="1276"/>
        <w:gridCol w:w="1276"/>
        <w:gridCol w:w="1276"/>
        <w:gridCol w:w="1134"/>
        <w:gridCol w:w="1284"/>
      </w:tblGrid>
      <w:tr w:rsidR="00733667" w:rsidRPr="0070011A" w:rsidTr="00667A43">
        <w:trPr>
          <w:trHeight w:val="600"/>
        </w:trPr>
        <w:tc>
          <w:tcPr>
            <w:tcW w:w="11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</w:p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proofErr w:type="gramStart"/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8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Наименование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целевого</w:t>
            </w:r>
            <w:proofErr w:type="gramEnd"/>
          </w:p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33667" w:rsidRPr="0070011A" w:rsidTr="00667A43">
        <w:trPr>
          <w:trHeight w:val="390"/>
        </w:trPr>
        <w:tc>
          <w:tcPr>
            <w:tcW w:w="11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8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733667" w:rsidRPr="0070011A" w:rsidTr="00667A43">
        <w:trPr>
          <w:trHeight w:val="58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8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733667" w:rsidRPr="0070011A" w:rsidTr="00667A43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1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b/>
                <w:sz w:val="18"/>
                <w:szCs w:val="18"/>
              </w:rPr>
              <w:t>Архивное дело</w:t>
            </w:r>
          </w:p>
        </w:tc>
      </w:tr>
      <w:tr w:rsidR="00733667" w:rsidRPr="0070011A" w:rsidTr="00667A43">
        <w:trPr>
          <w:trHeight w:val="46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667" w:rsidRPr="0070011A" w:rsidRDefault="0073366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0011A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67" w:rsidRPr="0070011A" w:rsidTr="00667A43">
        <w:trPr>
          <w:trHeight w:val="46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3667" w:rsidRPr="0070011A" w:rsidRDefault="0073366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0011A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Недостаточность финансирования</w:t>
            </w:r>
          </w:p>
        </w:tc>
      </w:tr>
      <w:tr w:rsidR="00733667" w:rsidRPr="0070011A" w:rsidTr="00667A43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33667" w:rsidRPr="0070011A" w:rsidRDefault="0073366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 - поисковые системы муниципального архива, в общем количестве архивных документов, хранящихся в архивном отделе Администрации МО «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0011A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67" w:rsidRPr="0070011A" w:rsidTr="00667A43">
        <w:trPr>
          <w:trHeight w:val="46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3667" w:rsidRPr="0070011A" w:rsidRDefault="0073366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организациях-источниках комплектования архивного отдела Администрации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0011A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33667" w:rsidRPr="0070011A" w:rsidRDefault="0073366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 должен стремиться к 0, уменьшение доли – это улучшение показателя</w:t>
            </w:r>
          </w:p>
        </w:tc>
      </w:tr>
      <w:tr w:rsidR="00733667" w:rsidRPr="0070011A" w:rsidTr="00667A43">
        <w:trPr>
          <w:trHeight w:val="966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3667" w:rsidRPr="0070011A" w:rsidRDefault="0073366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Style w:val="10"/>
                <w:rFonts w:eastAsiaTheme="minorHAnsi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</w:t>
            </w:r>
            <w:proofErr w:type="spell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0011A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Высокая нагрузка на специалистов</w:t>
            </w:r>
          </w:p>
        </w:tc>
      </w:tr>
    </w:tbl>
    <w:p w:rsidR="00733667" w:rsidRPr="0070011A" w:rsidRDefault="00733667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5600" w:type="dxa"/>
        <w:tblInd w:w="108" w:type="dxa"/>
        <w:tblLayout w:type="fixed"/>
        <w:tblLook w:val="04A0"/>
      </w:tblPr>
      <w:tblGrid>
        <w:gridCol w:w="564"/>
        <w:gridCol w:w="424"/>
        <w:gridCol w:w="708"/>
        <w:gridCol w:w="4116"/>
        <w:gridCol w:w="992"/>
        <w:gridCol w:w="1135"/>
        <w:gridCol w:w="1135"/>
        <w:gridCol w:w="1277"/>
        <w:gridCol w:w="1277"/>
        <w:gridCol w:w="1277"/>
        <w:gridCol w:w="1135"/>
        <w:gridCol w:w="1560"/>
      </w:tblGrid>
      <w:tr w:rsidR="00733667" w:rsidRPr="0070011A" w:rsidTr="00667A43">
        <w:trPr>
          <w:trHeight w:val="600"/>
          <w:tblHeader/>
        </w:trPr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1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33667" w:rsidRPr="0070011A" w:rsidTr="00733667">
        <w:trPr>
          <w:trHeight w:val="390"/>
          <w:tblHeader/>
        </w:trPr>
        <w:tc>
          <w:tcPr>
            <w:tcW w:w="14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3667" w:rsidRPr="0070011A" w:rsidTr="00733667">
        <w:trPr>
          <w:trHeight w:val="585"/>
          <w:tblHeader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3667" w:rsidRPr="0070011A" w:rsidTr="00733667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667" w:rsidRPr="0070011A" w:rsidRDefault="00733667">
            <w:pPr>
              <w:pStyle w:val="a4"/>
              <w:spacing w:line="276" w:lineRule="auto"/>
              <w:rPr>
                <w:rStyle w:val="10"/>
                <w:rFonts w:eastAsiaTheme="minorHAnsi"/>
                <w:b/>
              </w:rPr>
            </w:pPr>
            <w:r w:rsidRPr="0070011A">
              <w:rPr>
                <w:rStyle w:val="10"/>
                <w:rFonts w:eastAsiaTheme="minorHAnsi"/>
                <w:b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3667" w:rsidRPr="0070011A" w:rsidTr="00733667">
        <w:trPr>
          <w:trHeight w:val="8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pStyle w:val="a4"/>
              <w:spacing w:line="276" w:lineRule="auto"/>
              <w:rPr>
                <w:rStyle w:val="10"/>
                <w:rFonts w:eastAsiaTheme="minorHAnsi"/>
              </w:rPr>
            </w:pPr>
            <w:r w:rsidRPr="0070011A">
              <w:rPr>
                <w:rStyle w:val="10"/>
                <w:rFonts w:eastAsiaTheme="minorHAnsi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spellStart"/>
            <w:proofErr w:type="gramStart"/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опрошен-ных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3667" w:rsidRPr="0070011A" w:rsidTr="00733667">
        <w:trPr>
          <w:trHeight w:val="9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период с 1925 года по отчетный год)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</w:pPr>
          </w:p>
        </w:tc>
      </w:tr>
      <w:tr w:rsidR="00733667" w:rsidRPr="0070011A" w:rsidTr="00733667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2а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Количество записей актов гражданского состояния, переведенных в электронный вид (за период с 01 января 1926 года по 31 марта 2015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733667" w:rsidTr="00733667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001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667" w:rsidRPr="0070011A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33667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3667" w:rsidRDefault="007336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33667" w:rsidRDefault="00733667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3042DE" w:rsidRPr="00D54DCC" w:rsidRDefault="003042DE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5E7F28" w:rsidRDefault="005E7F28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656639" w:rsidRPr="00D52900" w:rsidRDefault="00656639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556069" w:rsidRDefault="00556069"/>
    <w:sectPr w:rsidR="00556069" w:rsidSect="00AA449D">
      <w:pgSz w:w="16838" w:h="11906" w:orient="landscape"/>
      <w:pgMar w:top="284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46E"/>
    <w:rsid w:val="00057930"/>
    <w:rsid w:val="00063087"/>
    <w:rsid w:val="0008704E"/>
    <w:rsid w:val="0009705C"/>
    <w:rsid w:val="000C546E"/>
    <w:rsid w:val="000E2E75"/>
    <w:rsid w:val="00103BE5"/>
    <w:rsid w:val="00144863"/>
    <w:rsid w:val="00172D50"/>
    <w:rsid w:val="00194FAA"/>
    <w:rsid w:val="002052E1"/>
    <w:rsid w:val="002B7BD1"/>
    <w:rsid w:val="003042DE"/>
    <w:rsid w:val="0030454C"/>
    <w:rsid w:val="00310447"/>
    <w:rsid w:val="0031618A"/>
    <w:rsid w:val="00345643"/>
    <w:rsid w:val="003A100C"/>
    <w:rsid w:val="003C4712"/>
    <w:rsid w:val="003F3499"/>
    <w:rsid w:val="004043AA"/>
    <w:rsid w:val="00431672"/>
    <w:rsid w:val="004502DC"/>
    <w:rsid w:val="004A6785"/>
    <w:rsid w:val="004D049E"/>
    <w:rsid w:val="004F4818"/>
    <w:rsid w:val="00504D05"/>
    <w:rsid w:val="00512679"/>
    <w:rsid w:val="0054179B"/>
    <w:rsid w:val="00556069"/>
    <w:rsid w:val="005A02C8"/>
    <w:rsid w:val="005D3389"/>
    <w:rsid w:val="005D520F"/>
    <w:rsid w:val="005E7F28"/>
    <w:rsid w:val="005F009E"/>
    <w:rsid w:val="00654EC5"/>
    <w:rsid w:val="00656639"/>
    <w:rsid w:val="00665AA9"/>
    <w:rsid w:val="00667A43"/>
    <w:rsid w:val="0067303E"/>
    <w:rsid w:val="006A0F39"/>
    <w:rsid w:val="006C5D11"/>
    <w:rsid w:val="0070011A"/>
    <w:rsid w:val="007040C2"/>
    <w:rsid w:val="00733667"/>
    <w:rsid w:val="0074200E"/>
    <w:rsid w:val="007833B3"/>
    <w:rsid w:val="007D117F"/>
    <w:rsid w:val="00834910"/>
    <w:rsid w:val="0089234F"/>
    <w:rsid w:val="008973DB"/>
    <w:rsid w:val="008A777D"/>
    <w:rsid w:val="008B4C85"/>
    <w:rsid w:val="008C2693"/>
    <w:rsid w:val="008F36F2"/>
    <w:rsid w:val="009018F2"/>
    <w:rsid w:val="00944CCB"/>
    <w:rsid w:val="00970562"/>
    <w:rsid w:val="00974EA8"/>
    <w:rsid w:val="00991F51"/>
    <w:rsid w:val="009C2976"/>
    <w:rsid w:val="00A16424"/>
    <w:rsid w:val="00A5657E"/>
    <w:rsid w:val="00A5725D"/>
    <w:rsid w:val="00A74C18"/>
    <w:rsid w:val="00AA449D"/>
    <w:rsid w:val="00AC2D43"/>
    <w:rsid w:val="00AF7E0C"/>
    <w:rsid w:val="00B1760F"/>
    <w:rsid w:val="00B26D3D"/>
    <w:rsid w:val="00B31D7C"/>
    <w:rsid w:val="00B60BF9"/>
    <w:rsid w:val="00BA5D8B"/>
    <w:rsid w:val="00BB20EC"/>
    <w:rsid w:val="00BC3906"/>
    <w:rsid w:val="00BE527D"/>
    <w:rsid w:val="00C45816"/>
    <w:rsid w:val="00C84891"/>
    <w:rsid w:val="00C9264D"/>
    <w:rsid w:val="00CA483E"/>
    <w:rsid w:val="00CC36A0"/>
    <w:rsid w:val="00CD5939"/>
    <w:rsid w:val="00CE1599"/>
    <w:rsid w:val="00D25965"/>
    <w:rsid w:val="00D45649"/>
    <w:rsid w:val="00D52900"/>
    <w:rsid w:val="00D53E0D"/>
    <w:rsid w:val="00D54DCC"/>
    <w:rsid w:val="00D565F2"/>
    <w:rsid w:val="00D80031"/>
    <w:rsid w:val="00D91909"/>
    <w:rsid w:val="00DD3FE8"/>
    <w:rsid w:val="00E12A1E"/>
    <w:rsid w:val="00E23A90"/>
    <w:rsid w:val="00E2669F"/>
    <w:rsid w:val="00E85D35"/>
    <w:rsid w:val="00F4602C"/>
    <w:rsid w:val="00F71CF8"/>
    <w:rsid w:val="00F92439"/>
    <w:rsid w:val="00FA7865"/>
    <w:rsid w:val="00FB3F0A"/>
    <w:rsid w:val="00FC120B"/>
    <w:rsid w:val="00FD5FBE"/>
    <w:rsid w:val="00FD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  <w:style w:type="paragraph" w:customStyle="1" w:styleId="Iauiue">
    <w:name w:val="Iau?iue"/>
    <w:rsid w:val="00654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  <w:style w:type="paragraph" w:customStyle="1" w:styleId="Iauiue">
    <w:name w:val="Iau?iue"/>
    <w:rsid w:val="00654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6DE9C45B96DF519F3C140416CD52A4AAE0122156C782FB6D2CFD73B0s5w1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8D3B6-0216-44FD-BBC1-36963273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2023-03-14T13:07:00Z</cp:lastPrinted>
  <dcterms:created xsi:type="dcterms:W3CDTF">2023-03-24T12:22:00Z</dcterms:created>
  <dcterms:modified xsi:type="dcterms:W3CDTF">2023-04-28T09:39:00Z</dcterms:modified>
</cp:coreProperties>
</file>