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F00" w:rsidRDefault="00D11F00" w:rsidP="00D11F00">
      <w:pPr>
        <w:rPr>
          <w:rFonts w:ascii="Times New Roman" w:hAnsi="Times New Roman"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hyperlink r:id="rId6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D11F00" w:rsidRPr="006A03B0" w:rsidRDefault="00D11F00" w:rsidP="00D11F00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hyperlink r:id="rId7" w:history="1">
        <w:r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D11F00" w:rsidRPr="006A03B0" w:rsidRDefault="00D11F00" w:rsidP="00D11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>на 31.12.20</w:t>
      </w:r>
      <w:r>
        <w:rPr>
          <w:rFonts w:ascii="Times New Roman" w:hAnsi="Times New Roman"/>
          <w:b/>
          <w:sz w:val="24"/>
          <w:szCs w:val="24"/>
          <w:u w:val="single"/>
        </w:rPr>
        <w:t>23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D11F00" w:rsidRDefault="00D11F00" w:rsidP="00D1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D11F00" w:rsidRPr="002D4E16" w:rsidRDefault="00D11F00" w:rsidP="00D1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447"/>
        <w:gridCol w:w="1134"/>
        <w:gridCol w:w="66"/>
        <w:gridCol w:w="1068"/>
        <w:gridCol w:w="1276"/>
        <w:gridCol w:w="1134"/>
        <w:gridCol w:w="1134"/>
        <w:gridCol w:w="1842"/>
      </w:tblGrid>
      <w:tr w:rsidR="00D11F00" w:rsidRPr="00220D26" w:rsidTr="00A61033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D11F00" w:rsidRPr="0051261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51261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51261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51261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51261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11F00" w:rsidRPr="00220D26" w:rsidTr="00A61033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A6CDA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факт за год, предшествую-</w:t>
            </w:r>
            <w:proofErr w:type="spellStart"/>
            <w:r w:rsidRPr="00FA6CDA">
              <w:rPr>
                <w:rFonts w:ascii="Times New Roman" w:hAnsi="Times New Roman"/>
                <w:sz w:val="18"/>
                <w:szCs w:val="18"/>
              </w:rPr>
              <w:t>щий</w:t>
            </w:r>
            <w:proofErr w:type="spellEnd"/>
            <w:r w:rsidRPr="00FA6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FA6CDA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  <w:r w:rsidRPr="00FA6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1F00" w:rsidRPr="00166560" w:rsidRDefault="00D11F00" w:rsidP="00A6103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C06ECF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C06ECF"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  <w:proofErr w:type="gramStart"/>
            <w:r w:rsidRPr="00C06ECF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C06ECF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D11F00" w:rsidRPr="00166560" w:rsidRDefault="00D11F00" w:rsidP="00A6103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A6CDA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D11F00" w:rsidRPr="00166560" w:rsidRDefault="00D11F00" w:rsidP="00A6103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51261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51261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51261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51261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F0729D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 xml:space="preserve">Развитие дошкольного образования </w:t>
            </w:r>
          </w:p>
        </w:tc>
      </w:tr>
      <w:tr w:rsidR="00D11F00" w:rsidRPr="00220D26" w:rsidTr="00A61033">
        <w:trPr>
          <w:trHeight w:val="186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FF4CC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FF4CC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51,0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52,67</w:t>
            </w:r>
          </w:p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0729D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7A6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7A6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F0729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067A6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FF4CC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FF4CC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2,45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0729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FF4CC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FF4CC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 Доступность дошкольного образования (отношение численности детей 3-7 лет, которым предоставлена возможность получать услуги </w:t>
            </w: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1F00" w:rsidRPr="00150F71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1F00" w:rsidRPr="00F75C7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1F00" w:rsidRPr="00F75C71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75C71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  <w:p w:rsidR="00D11F00" w:rsidRPr="00F75C71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75C71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1F00" w:rsidRPr="007D73CE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6695">
              <w:rPr>
                <w:rFonts w:ascii="Times New Roman" w:hAnsi="Times New Roman"/>
                <w:sz w:val="18"/>
                <w:szCs w:val="18"/>
              </w:rPr>
              <w:t>33538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1F00" w:rsidRPr="007D73CE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37089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1F00" w:rsidRPr="00FE3549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549">
              <w:rPr>
                <w:rFonts w:ascii="Times New Roman" w:hAnsi="Times New Roman"/>
                <w:sz w:val="18"/>
                <w:szCs w:val="18"/>
              </w:rPr>
              <w:t>36593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1F00" w:rsidRPr="00FE3549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549">
              <w:rPr>
                <w:rFonts w:ascii="Times New Roman" w:hAnsi="Times New Roman"/>
                <w:sz w:val="18"/>
                <w:szCs w:val="18"/>
              </w:rPr>
              <w:t>-496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1F00" w:rsidRPr="00FE3549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549">
              <w:rPr>
                <w:rFonts w:ascii="Times New Roman" w:hAnsi="Times New Roman"/>
                <w:sz w:val="18"/>
                <w:szCs w:val="18"/>
              </w:rPr>
              <w:t>-1,33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1F00" w:rsidRPr="00FE3549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549">
              <w:rPr>
                <w:rFonts w:ascii="Times New Roman" w:hAnsi="Times New Roman"/>
                <w:sz w:val="18"/>
                <w:szCs w:val="18"/>
              </w:rPr>
              <w:t>+9,11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FE3549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549">
              <w:rPr>
                <w:rFonts w:ascii="Times New Roman" w:hAnsi="Times New Roman"/>
                <w:sz w:val="18"/>
                <w:szCs w:val="18"/>
              </w:rPr>
              <w:t>Отклонение в пределах допустимой нормы</w:t>
            </w: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Укомплектованность  дошкольных групп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B83F07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руководителей  дошкольных групп 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 дошкольных групп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75C7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75C71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7D73CE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7D73CE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0729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B83F07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B83F07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B83F07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D11F00" w:rsidRPr="00B83F07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B83F07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11F00" w:rsidRPr="00F23F59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23F59">
              <w:rPr>
                <w:rFonts w:ascii="Times New Roman" w:hAnsi="Times New Roman"/>
                <w:sz w:val="18"/>
                <w:szCs w:val="18"/>
              </w:rPr>
              <w:t>2,5</w:t>
            </w:r>
          </w:p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73D66">
              <w:rPr>
                <w:rFonts w:ascii="Times New Roman" w:hAnsi="Times New Roman"/>
                <w:color w:val="FF0000"/>
                <w:sz w:val="18"/>
                <w:szCs w:val="18"/>
              </w:rPr>
              <w:t>-</w:t>
            </w:r>
          </w:p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73D66">
              <w:rPr>
                <w:rFonts w:ascii="Times New Roman" w:hAnsi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5C7FC0" w:rsidRDefault="00D11F00" w:rsidP="00A610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C7FC0">
              <w:rPr>
                <w:rFonts w:ascii="Times New Roman" w:hAnsi="Times New Roman"/>
                <w:sz w:val="18"/>
                <w:szCs w:val="18"/>
              </w:rPr>
              <w:t>Остаются  проблемы с отсутствием условий для доступа в здание инвалидов и недостаток дидактических пособий для детей  с ОВЗ, а количество детей данных категорий увеличилось</w:t>
            </w:r>
          </w:p>
          <w:p w:rsidR="00D11F00" w:rsidRPr="00373D66" w:rsidRDefault="00D11F00" w:rsidP="00A61033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Доля граждан, использующих механизм получения  государственных 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0729D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>84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FF4CC2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11F00" w:rsidRPr="008539F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</w:t>
            </w:r>
          </w:p>
        </w:tc>
      </w:tr>
      <w:tr w:rsidR="00D11F00" w:rsidRPr="00220D26" w:rsidTr="00A61033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51427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427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51427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427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B459F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4ED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4ED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4ED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4ED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4ED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4ED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1427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1427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4273">
              <w:rPr>
                <w:rFonts w:ascii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1427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427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51427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1427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51427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514273">
              <w:rPr>
                <w:rFonts w:ascii="Times New Roman" w:hAnsi="Times New Roman"/>
                <w:sz w:val="18"/>
                <w:szCs w:val="18"/>
              </w:rPr>
              <w:t xml:space="preserve">оля муниципальных </w:t>
            </w:r>
            <w:proofErr w:type="spellStart"/>
            <w:proofErr w:type="gramStart"/>
            <w:r w:rsidRPr="00514273">
              <w:rPr>
                <w:rFonts w:ascii="Times New Roman" w:hAnsi="Times New Roman"/>
                <w:sz w:val="18"/>
                <w:szCs w:val="18"/>
              </w:rPr>
              <w:t>общеобразователь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514273">
              <w:rPr>
                <w:rFonts w:ascii="Times New Roman" w:hAnsi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514273">
              <w:rPr>
                <w:rFonts w:ascii="Times New Roman" w:hAnsi="Times New Roman"/>
                <w:sz w:val="18"/>
                <w:szCs w:val="18"/>
              </w:rPr>
              <w:t xml:space="preserve"> учреждений, здания которых требуют капремонта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начало 2023 года было выше, но к концу 2023 года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 </w:t>
            </w:r>
            <w:r w:rsidRPr="005142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завершился капремонт по федеральной программе модернизации системы образования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91,96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88,1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92,78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+4,68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 w:rsidRPr="009F3BE5">
              <w:rPr>
                <w:rFonts w:ascii="Times New Roman" w:hAnsi="Times New Roman"/>
                <w:sz w:val="18"/>
                <w:szCs w:val="18"/>
              </w:rPr>
              <w:t>численности</w:t>
            </w:r>
            <w:proofErr w:type="gramEnd"/>
            <w:r w:rsidRPr="009F3BE5">
              <w:rPr>
                <w:rFonts w:ascii="Times New Roman" w:hAnsi="Times New Roman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85,43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79,2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85,95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+6,75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9F3BE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 xml:space="preserve">Рассчитывается от соотношения количества детей первой и второй групп здоровья в общей </w:t>
            </w:r>
            <w:proofErr w:type="gramStart"/>
            <w:r w:rsidRPr="009F3BE5">
              <w:rPr>
                <w:rFonts w:ascii="Times New Roman" w:hAnsi="Times New Roman"/>
                <w:sz w:val="18"/>
                <w:szCs w:val="18"/>
              </w:rPr>
              <w:t>численности</w:t>
            </w:r>
            <w:proofErr w:type="gramEnd"/>
            <w:r w:rsidRPr="009F3BE5">
              <w:rPr>
                <w:rFonts w:ascii="Times New Roman" w:hAnsi="Times New Roman"/>
                <w:sz w:val="18"/>
                <w:szCs w:val="18"/>
              </w:rPr>
              <w:t xml:space="preserve"> осмотренных по плану.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88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F75C7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0C6914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0C6914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C6914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0C691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C6914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C6914">
              <w:rPr>
                <w:rFonts w:ascii="Times New Roman" w:eastAsia="Times New Roman" w:hAnsi="Times New Roman"/>
                <w:sz w:val="18"/>
                <w:szCs w:val="18"/>
              </w:rPr>
              <w:t>34393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C6914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C6914">
              <w:rPr>
                <w:rFonts w:ascii="Times New Roman" w:eastAsia="Times New Roman" w:hAnsi="Times New Roman"/>
                <w:sz w:val="18"/>
                <w:szCs w:val="18"/>
              </w:rPr>
              <w:t>35565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C6914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C6914">
              <w:rPr>
                <w:rFonts w:ascii="Times New Roman" w:eastAsia="Times New Roman" w:hAnsi="Times New Roman"/>
                <w:sz w:val="18"/>
                <w:szCs w:val="18"/>
              </w:rPr>
              <w:t>42428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C6914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6914">
              <w:rPr>
                <w:rFonts w:ascii="Times New Roman" w:hAnsi="Times New Roman"/>
                <w:sz w:val="18"/>
                <w:szCs w:val="18"/>
              </w:rPr>
              <w:t>+ 6863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C6914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0C6914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11F00" w:rsidRPr="000C6914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0C6914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F75C7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84FFC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184FFC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работников муниципальных общеобразовательных учреждений, рублей.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84FFC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184FFC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84FFC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4FFC">
              <w:rPr>
                <w:rFonts w:ascii="Times New Roman" w:eastAsia="Times New Roman" w:hAnsi="Times New Roman"/>
                <w:sz w:val="18"/>
                <w:szCs w:val="18"/>
              </w:rPr>
              <w:t>34553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84FFC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4FFC">
              <w:rPr>
                <w:rFonts w:ascii="Times New Roman" w:eastAsia="Times New Roman" w:hAnsi="Times New Roman"/>
                <w:sz w:val="18"/>
                <w:szCs w:val="18"/>
              </w:rPr>
              <w:t>29219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84FFC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4FFC">
              <w:rPr>
                <w:rFonts w:ascii="Times New Roman" w:eastAsia="Times New Roman" w:hAnsi="Times New Roman"/>
                <w:sz w:val="18"/>
                <w:szCs w:val="18"/>
              </w:rPr>
              <w:t>30378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84FFC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4FFC">
              <w:rPr>
                <w:rFonts w:ascii="Times New Roman" w:hAnsi="Times New Roman"/>
                <w:sz w:val="18"/>
                <w:szCs w:val="18"/>
              </w:rPr>
              <w:t>+1159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84FFC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184FFC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11F00" w:rsidRPr="00184FFC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184FFC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F75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A0327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F75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F75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EF75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8539F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sz w:val="18"/>
                <w:szCs w:val="18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F75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89,0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355A6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355A6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В связи с тем, что количество молодых специалистов больше, чем в предыдущий год, и аттестации на СЗД они подлежат не ранее, чем через 2 года после оформления трудовых отношений.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руководителей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A0327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A0327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F75C7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F75C7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73C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73C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Уменьшение общего количества казенных учреждений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(переход в статус бюджетных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Пусошурской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Дондыкарской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СОШ)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D475B5" w:rsidRDefault="00D11F00" w:rsidP="00A6103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23C7C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023C7C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23C7C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23C7C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228,1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23C7C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161,3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23C7C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43,744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23C7C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+117,556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23C7C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023C7C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023C7C" w:rsidRDefault="00D11F00" w:rsidP="00A61033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Изме</w:t>
            </w:r>
            <w:r>
              <w:rPr>
                <w:rFonts w:ascii="Times New Roman" w:hAnsi="Times New Roman"/>
                <w:sz w:val="18"/>
                <w:szCs w:val="18"/>
              </w:rPr>
              <w:t>нили методику расчета, разделив расходы</w:t>
            </w:r>
            <w:r w:rsidRPr="00023C7C">
              <w:rPr>
                <w:rFonts w:ascii="Times New Roman" w:hAnsi="Times New Roman"/>
                <w:sz w:val="18"/>
                <w:szCs w:val="18"/>
              </w:rPr>
              <w:t xml:space="preserve"> на общее и дошкольное образование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баллах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11F00" w:rsidRPr="00536E4B" w:rsidRDefault="00D11F00" w:rsidP="00A61033">
            <w:r>
              <w:rPr>
                <w:rFonts w:ascii="Times New Roman" w:eastAsia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6D11EE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Остаются  проблемы с отсутствием условий для доступа в здание инвалидов и детей с ОВЗ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6E4B" w:rsidRDefault="00D11F00" w:rsidP="00A61033">
            <w:r>
              <w:rPr>
                <w:rFonts w:ascii="Times New Roman" w:eastAsia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E360A8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Остаются  проблемы с отсутствием условий для доступа в здание инвалидов и детей с ОВЗ</w:t>
            </w:r>
          </w:p>
        </w:tc>
      </w:tr>
      <w:tr w:rsidR="00D11F00" w:rsidRPr="00220D26" w:rsidTr="00A61033">
        <w:trPr>
          <w:trHeight w:val="1219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6E4B" w:rsidRDefault="00D11F00" w:rsidP="00A61033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7A0327" w:rsidRDefault="00D11F00" w:rsidP="00A61033"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6E4B" w:rsidRDefault="00D11F00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E360A8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11F00" w:rsidRPr="00E360A8" w:rsidRDefault="00D11F00" w:rsidP="00A6103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6E4B" w:rsidRDefault="00D11F00" w:rsidP="00A6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 человек нарастающим итогом к 2018 году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814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895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E360A8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E360A8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11F00" w:rsidRPr="00E360A8" w:rsidRDefault="00D11F00" w:rsidP="00A6103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</w:tbl>
    <w:p w:rsidR="00D11F00" w:rsidRPr="00220D26" w:rsidRDefault="00D11F00" w:rsidP="00D11F00">
      <w:pPr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709"/>
        <w:gridCol w:w="724"/>
        <w:gridCol w:w="425"/>
        <w:gridCol w:w="2977"/>
        <w:gridCol w:w="283"/>
        <w:gridCol w:w="1134"/>
        <w:gridCol w:w="1418"/>
        <w:gridCol w:w="1134"/>
        <w:gridCol w:w="1134"/>
        <w:gridCol w:w="1276"/>
        <w:gridCol w:w="1134"/>
        <w:gridCol w:w="938"/>
        <w:gridCol w:w="196"/>
        <w:gridCol w:w="1842"/>
      </w:tblGrid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C43140" w:rsidRDefault="00D11F00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системой образования муниципального образования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proofErr w:type="spellStart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9A67BD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A67BD">
              <w:rPr>
                <w:rFonts w:ascii="Times New Roman" w:hAnsi="Times New Roman"/>
                <w:sz w:val="18"/>
                <w:szCs w:val="18"/>
              </w:rPr>
              <w:t>Оценка качества муниципальной системы образования муниципального образования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48D5">
              <w:rPr>
                <w:sz w:val="18"/>
                <w:szCs w:val="18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6E4B" w:rsidRDefault="00D11F00" w:rsidP="00A61033">
            <w:r>
              <w:rPr>
                <w:rFonts w:ascii="Times New Roman" w:eastAsia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9948D5" w:rsidRDefault="00D11F00" w:rsidP="00A61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948D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948D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948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9948D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948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9948D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Default="00D11F00" w:rsidP="00A610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E435BA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численности руководителей и педагогических работников общеобразовательных учреждений,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D775DA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Default="00D11F00" w:rsidP="00A610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A9297F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A9297F">
              <w:rPr>
                <w:rFonts w:ascii="Times New Roman" w:hAnsi="Times New Roman"/>
                <w:sz w:val="18"/>
                <w:szCs w:val="18"/>
              </w:rPr>
              <w:t>Доля педагогических работников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48D5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948D5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948D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9948D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948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9948D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9948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9948D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Default="00D11F00" w:rsidP="00A610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E435BA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учреждений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6E4B" w:rsidRDefault="00D11F00" w:rsidP="00A61033">
            <w:r>
              <w:rPr>
                <w:rFonts w:ascii="Times New Roman" w:eastAsia="Times New Roman" w:hAnsi="Times New Roman"/>
                <w:sz w:val="18"/>
                <w:szCs w:val="18"/>
              </w:rPr>
              <w:t>95</w:t>
            </w: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785122" w:rsidRDefault="00D11F00" w:rsidP="00A61033">
            <w:r>
              <w:t>95</w:t>
            </w:r>
            <w:r w:rsidRPr="00785122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8512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8512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78512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78512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392CFD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3C774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общеобразовательных учреждений муниципального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руководителями которых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392CFD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 педагогических работников общеобразовательных учреждений муниципального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392CFD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C43140" w:rsidTr="00A61033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F75C7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F75C7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F75C71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73CE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1C11">
              <w:rPr>
                <w:rFonts w:ascii="Times New Roman" w:eastAsia="Times New Roman" w:hAnsi="Times New Roman"/>
                <w:sz w:val="18"/>
                <w:szCs w:val="18"/>
              </w:rPr>
              <w:t>35565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D73CE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6914">
              <w:rPr>
                <w:rFonts w:ascii="Times New Roman" w:eastAsia="Times New Roman" w:hAnsi="Times New Roman"/>
                <w:sz w:val="18"/>
                <w:szCs w:val="18"/>
              </w:rPr>
              <w:t>35565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001C11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42428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Количество программ (проектов) в сфере образования, реализуемых на территории  муниципального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», получивших финансовую поддержку в виде грантов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DB56D4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623A7F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8512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8512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78512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1F00" w:rsidRPr="00785122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6717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717B">
              <w:rPr>
                <w:rFonts w:ascii="Times New Roman" w:eastAsia="Times New Roman" w:hAnsi="Times New Roman"/>
                <w:sz w:val="18"/>
                <w:szCs w:val="18"/>
              </w:rPr>
              <w:t>97,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6717B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76717B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6717B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7671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76717B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7671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76717B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Причина невыполнения в том, что учебники на уровне среднего общего образования  не соответствуют ФРП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300A37" w:rsidRDefault="00D11F00" w:rsidP="00A610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00A37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300A37" w:rsidRDefault="00D11F00" w:rsidP="00A610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00A37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300A37" w:rsidRDefault="00D11F00" w:rsidP="00A610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300A37" w:rsidRDefault="00D11F00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300A37">
              <w:rPr>
                <w:rFonts w:ascii="Times New Roman" w:hAnsi="Times New Roman"/>
                <w:b/>
                <w:sz w:val="18"/>
                <w:szCs w:val="18"/>
              </w:rPr>
              <w:t xml:space="preserve">Дополнительное образование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220D26" w:rsidRDefault="00D11F00" w:rsidP="00A6103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220D26" w:rsidRDefault="00D11F00" w:rsidP="00A6103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D41C80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84FC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78,43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73,78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606CB8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06CB8">
              <w:rPr>
                <w:rFonts w:ascii="Times New Roman" w:eastAsia="Times New Roman" w:hAnsi="Times New Roman"/>
                <w:sz w:val="18"/>
                <w:szCs w:val="18"/>
              </w:rPr>
              <w:t>-4,72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606CB8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06CB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606CB8" w:rsidRDefault="00D11F00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C84FCF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84FCF">
              <w:rPr>
                <w:rFonts w:ascii="Times New Roman" w:eastAsia="Times New Roman" w:hAnsi="Times New Roman"/>
                <w:sz w:val="18"/>
                <w:szCs w:val="18"/>
              </w:rPr>
              <w:t>В 2023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году изменилась методика подсчё</w:t>
            </w:r>
            <w:r w:rsidRPr="00C84FCF">
              <w:rPr>
                <w:rFonts w:ascii="Times New Roman" w:eastAsia="Times New Roman" w:hAnsi="Times New Roman"/>
                <w:sz w:val="18"/>
                <w:szCs w:val="18"/>
              </w:rPr>
              <w:t>та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а также происходит уменьшение численности фактически проживающих детей на территории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D41C80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84FC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детей в возрасте 5 –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FF37A5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78,13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606CB8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06CB8">
              <w:rPr>
                <w:rFonts w:ascii="Times New Roman" w:eastAsia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606CB8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06CB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606CB8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06CB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606CB8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06CB8">
              <w:rPr>
                <w:rFonts w:ascii="Times New Roman" w:eastAsia="Times New Roman" w:hAnsi="Times New Roman"/>
                <w:sz w:val="18"/>
                <w:szCs w:val="18"/>
              </w:rPr>
              <w:t>Показатель введен в рамках реализации НП «Успех каждого ребенка» с 2019 года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D41C80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Доля учащихся, принимавших участие в  конкурсах, смотрах, соревнованиях  и т.п. мероприятий различного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FF37A5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06CB8">
              <w:rPr>
                <w:rFonts w:ascii="Times New Roman" w:eastAsia="Times New Roman" w:hAnsi="Times New Roman"/>
                <w:sz w:val="18"/>
                <w:szCs w:val="18"/>
              </w:rPr>
              <w:t>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785122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+19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785122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785122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785122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D41C80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D41C8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D41C80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2B7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учащ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ихся муниципальных организаций </w:t>
            </w:r>
            <w:r w:rsidRPr="00D02B7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41</w:t>
            </w: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 xml:space="preserve"> или 11,2%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85</w:t>
            </w:r>
          </w:p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13,1%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255D7C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52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чел</w:t>
            </w:r>
          </w:p>
          <w:p w:rsidR="00D11F00" w:rsidRPr="00255D7C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11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,9%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показатель улучшился по сравнению с предыдущим годом, но остается низкий уровень руководящей и тренерской квалификации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для подготовки детей к высоким разрядам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162CA6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162CA6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2B7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162CA6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</w:t>
            </w:r>
            <w:proofErr w:type="spellStart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работниковобразовательных</w:t>
            </w:r>
            <w:proofErr w:type="spellEnd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FF37A5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162CA6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FF37A5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162CA6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FF37A5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162CA6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FF37A5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D5336D" w:rsidRDefault="00D11F00" w:rsidP="00A6103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5336D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баллов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5336D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5336D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D5336D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5336D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785122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785122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785122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2B226B" w:rsidRDefault="00D11F00" w:rsidP="00A6103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162CA6" w:rsidRDefault="00D11F00" w:rsidP="00A61033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r w:rsidRPr="00D3638F">
              <w:rPr>
                <w:rFonts w:ascii="Times New Roman" w:eastAsia="Times New Roman" w:hAnsi="Times New Roman"/>
                <w:sz w:val="18"/>
                <w:szCs w:val="18"/>
              </w:rPr>
              <w:t>98,5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r>
              <w:rPr>
                <w:rFonts w:ascii="Times New Roman" w:eastAsia="Times New Roman" w:hAnsi="Times New Roman"/>
                <w:sz w:val="18"/>
                <w:szCs w:val="18"/>
              </w:rPr>
              <w:t>98,06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162CA6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B8263D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B8263D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8263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B8263D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8263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B8263D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8263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536E4B" w:rsidRDefault="00D11F00" w:rsidP="00A610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2B78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D41C80" w:rsidRDefault="00D11F00" w:rsidP="00A610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r w:rsidRPr="00E42C29">
              <w:rPr>
                <w:rFonts w:ascii="Times New Roman" w:eastAsia="Times New Roman" w:hAnsi="Times New Roman"/>
                <w:sz w:val="18"/>
                <w:szCs w:val="18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D41C80" w:rsidRDefault="00D11F00" w:rsidP="00A610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школа", "детская цирковая</w:t>
            </w:r>
            <w:proofErr w:type="gramEnd"/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 xml:space="preserve"> школа", "детская школа художественных ремесел" (далее - детские школы искусств).</w:t>
            </w:r>
          </w:p>
          <w:p w:rsidR="00D11F00" w:rsidRPr="00D41C80" w:rsidRDefault="00D11F00" w:rsidP="00A610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E42C29" w:rsidRDefault="00D11F00" w:rsidP="00A6103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+21,1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11F00" w:rsidRPr="00220D26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D41C80" w:rsidRDefault="00D11F00" w:rsidP="00A610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  <w:p w:rsidR="00D11F00" w:rsidRPr="00D41C80" w:rsidRDefault="00D11F00" w:rsidP="00A6103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6E4B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E42C29" w:rsidRDefault="00D11F00" w:rsidP="00A6103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Default="00D11F00" w:rsidP="00A610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C80">
              <w:rPr>
                <w:rFonts w:ascii="Times New Roman" w:hAnsi="Times New Roman" w:cs="Times New Roman"/>
                <w:sz w:val="18"/>
                <w:szCs w:val="18"/>
              </w:rPr>
              <w:t>25,16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+0,16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D41C80" w:rsidRDefault="00D11F00" w:rsidP="00A610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1836D5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1836D5">
              <w:rPr>
                <w:rFonts w:ascii="Times New Roman" w:hAnsi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80703" w:rsidRDefault="00D11F00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80703">
              <w:rPr>
                <w:rFonts w:ascii="Times New Roman" w:hAnsi="Times New Roman" w:cs="Times New Roman"/>
                <w:sz w:val="18"/>
                <w:szCs w:val="18"/>
              </w:rPr>
              <w:t>Количество молодежи, охваченной мероприятиями в сфере молодежной политики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80703" w:rsidRDefault="00D11F00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80703">
              <w:rPr>
                <w:rFonts w:ascii="Times New Roman" w:hAnsi="Times New Roman" w:cs="Times New Roman"/>
                <w:sz w:val="18"/>
                <w:szCs w:val="18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80703" w:rsidRDefault="00D11F00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80703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патриотического направления для молодёжи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Уменьшение количества мероприятий связано с экономией бюджета в конце года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280703" w:rsidRDefault="00D11F00" w:rsidP="00A6103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80703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организованных для молодежи работающих на предприятиях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AE5FDE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043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+3,0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043">
              <w:rPr>
                <w:rFonts w:ascii="Times New Roman" w:eastAsia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043">
              <w:rPr>
                <w:rFonts w:ascii="Times New Roman" w:eastAsia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 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Количество программ (проектов), реализуемых в сфере организации каникулярного отдыха в муниципальном образовании «</w:t>
            </w:r>
            <w:proofErr w:type="spellStart"/>
            <w:r w:rsidRPr="0053704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537043">
              <w:rPr>
                <w:rFonts w:ascii="Times New Roman" w:hAnsi="Times New Roman"/>
                <w:sz w:val="18"/>
                <w:szCs w:val="18"/>
              </w:rPr>
              <w:t xml:space="preserve"> район», получивших финансовую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  <w:r w:rsidRPr="00537043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7043">
              <w:rPr>
                <w:rFonts w:ascii="Times New Roman" w:eastAsia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+1,0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1F00" w:rsidRPr="00AE5FDE" w:rsidTr="00A61033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 xml:space="preserve">    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F00" w:rsidRPr="00537043" w:rsidRDefault="00D11F00" w:rsidP="00A610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D11F00" w:rsidRDefault="00D11F00" w:rsidP="00D1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1F00" w:rsidRDefault="00D11F00" w:rsidP="00D11F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28C9" w:rsidRDefault="006C28C9"/>
    <w:sectPr w:rsidR="006C28C9" w:rsidSect="00D11F0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00"/>
    <w:rsid w:val="006C28C9"/>
    <w:rsid w:val="00D1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0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D11F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1F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11F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11F00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1F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11F00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D11F00"/>
    <w:rPr>
      <w:color w:val="0000FF"/>
      <w:u w:val="single"/>
    </w:rPr>
  </w:style>
  <w:style w:type="paragraph" w:customStyle="1" w:styleId="hpinlineinlist">
    <w:name w:val="hp  inlineinlist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11F00"/>
    <w:rPr>
      <w:color w:val="800080"/>
      <w:u w:val="single"/>
    </w:rPr>
  </w:style>
  <w:style w:type="paragraph" w:customStyle="1" w:styleId="font5">
    <w:name w:val="font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11F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11F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11F0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11F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11F0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11F0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11F0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11F0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11F0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11F0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11F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11F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11F00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11F0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11F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11F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11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11F0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11F00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11F0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11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11F00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11F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11F0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11F00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11F00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11F00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11F00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11F00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11F00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11F0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11F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11F0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11F00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11F00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11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D11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D11F0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D11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F00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D11F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0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D11F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1F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11F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11F00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1F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11F00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D11F00"/>
    <w:rPr>
      <w:color w:val="0000FF"/>
      <w:u w:val="single"/>
    </w:rPr>
  </w:style>
  <w:style w:type="paragraph" w:customStyle="1" w:styleId="hpinlineinlist">
    <w:name w:val="hp  inlineinlist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11F00"/>
    <w:rPr>
      <w:color w:val="800080"/>
      <w:u w:val="single"/>
    </w:rPr>
  </w:style>
  <w:style w:type="paragraph" w:customStyle="1" w:styleId="font5">
    <w:name w:val="font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11F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11F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11F0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11F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11F0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11F0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11F0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11F0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11F0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11F0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11F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11F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11F00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11F0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11F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11F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11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11F0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11F00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11F0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11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11F00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11F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11F0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11F00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11F00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1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11F00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11F00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11F00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11F00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11F0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11F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11F0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11F0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11F0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11F00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11F00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11F0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11F0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11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11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D11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D11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D11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D11F0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D11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F00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D11F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2857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2024-04-18T15:24:00Z</dcterms:created>
  <dcterms:modified xsi:type="dcterms:W3CDTF">2024-04-18T15:33:00Z</dcterms:modified>
</cp:coreProperties>
</file>