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6C" w:rsidRPr="000A0044" w:rsidRDefault="00F20C6C" w:rsidP="00F20C6C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lang w:val="ru-RU" w:eastAsia="en-US" w:bidi="ar-SA"/>
        </w:rPr>
      </w:pPr>
      <w:r w:rsidRPr="000A0044">
        <w:rPr>
          <w:rFonts w:eastAsia="Calibri" w:cs="Times New Roman"/>
          <w:b/>
          <w:kern w:val="0"/>
          <w:lang w:val="ru-RU" w:eastAsia="en-US" w:bidi="ar-SA"/>
        </w:rPr>
        <w:t>Форма 1. Отчет о достигнутых значениях целевых показателей (индикаторов</w:t>
      </w:r>
      <w:r>
        <w:rPr>
          <w:rFonts w:eastAsia="Calibri" w:cs="Times New Roman"/>
          <w:b/>
          <w:kern w:val="0"/>
          <w:lang w:val="ru-RU" w:eastAsia="en-US" w:bidi="ar-SA"/>
        </w:rPr>
        <w:t>) муниципальной программы за 2023</w:t>
      </w:r>
      <w:r w:rsidRPr="000A0044">
        <w:rPr>
          <w:rFonts w:eastAsia="Calibri" w:cs="Times New Roman"/>
          <w:b/>
          <w:kern w:val="0"/>
          <w:lang w:val="ru-RU" w:eastAsia="en-US" w:bidi="ar-SA"/>
        </w:rPr>
        <w:t xml:space="preserve"> год</w:t>
      </w:r>
    </w:p>
    <w:tbl>
      <w:tblPr>
        <w:tblW w:w="15853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920"/>
        <w:gridCol w:w="742"/>
        <w:gridCol w:w="513"/>
        <w:gridCol w:w="2078"/>
        <w:gridCol w:w="1124"/>
        <w:gridCol w:w="1466"/>
        <w:gridCol w:w="1276"/>
        <w:gridCol w:w="1276"/>
        <w:gridCol w:w="1707"/>
        <w:gridCol w:w="1269"/>
        <w:gridCol w:w="1237"/>
        <w:gridCol w:w="2245"/>
      </w:tblGrid>
      <w:tr w:rsidR="00F20C6C" w:rsidRPr="000A0044" w:rsidTr="00A35D3F">
        <w:trPr>
          <w:trHeight w:val="507"/>
        </w:trPr>
        <w:tc>
          <w:tcPr>
            <w:tcW w:w="16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Коды аналитической программной классификации</w:t>
            </w:r>
          </w:p>
        </w:tc>
        <w:tc>
          <w:tcPr>
            <w:tcW w:w="5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№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/п</w:t>
            </w:r>
          </w:p>
        </w:tc>
        <w:tc>
          <w:tcPr>
            <w:tcW w:w="20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Наименование целевого показателя (индикатора)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Единица измерения</w:t>
            </w:r>
          </w:p>
        </w:tc>
        <w:tc>
          <w:tcPr>
            <w:tcW w:w="4018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Значения целевого показателя (индикатора)</w:t>
            </w:r>
          </w:p>
        </w:tc>
        <w:tc>
          <w:tcPr>
            <w:tcW w:w="17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Абсолютное отклонение факта от плана</w:t>
            </w:r>
          </w:p>
        </w:tc>
        <w:tc>
          <w:tcPr>
            <w:tcW w:w="12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Относительное отклонение факта от плана, </w:t>
            </w:r>
            <w:proofErr w:type="gram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в</w:t>
            </w:r>
            <w:proofErr w:type="gramEnd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% </w:t>
            </w:r>
          </w:p>
        </w:tc>
        <w:tc>
          <w:tcPr>
            <w:tcW w:w="123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Темп роста (снижения) к уровню прошлого года, %</w:t>
            </w:r>
          </w:p>
        </w:tc>
        <w:tc>
          <w:tcPr>
            <w:tcW w:w="2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tabs>
                <w:tab w:val="left" w:pos="1877"/>
                <w:tab w:val="left" w:pos="2369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Обоснование</w:t>
            </w:r>
          </w:p>
          <w:p w:rsidR="00F20C6C" w:rsidRPr="000A0044" w:rsidRDefault="00F20C6C" w:rsidP="00A35D3F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отклонений значений</w:t>
            </w:r>
          </w:p>
          <w:p w:rsidR="00F20C6C" w:rsidRPr="000A0044" w:rsidRDefault="00F20C6C" w:rsidP="00A35D3F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целевого показателя</w:t>
            </w:r>
          </w:p>
          <w:p w:rsidR="00F20C6C" w:rsidRPr="000A0044" w:rsidRDefault="00F20C6C" w:rsidP="00A35D3F">
            <w:pPr>
              <w:widowControl/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(индикатора) на конец</w:t>
            </w:r>
          </w:p>
          <w:p w:rsidR="00F20C6C" w:rsidRPr="000A0044" w:rsidRDefault="00F20C6C" w:rsidP="00A35D3F">
            <w:pPr>
              <w:widowControl/>
              <w:tabs>
                <w:tab w:val="left" w:pos="2234"/>
              </w:tabs>
              <w:suppressAutoHyphens w:val="0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отчетного периода</w:t>
            </w:r>
          </w:p>
        </w:tc>
      </w:tr>
      <w:tr w:rsidR="00F20C6C" w:rsidRPr="000A0044" w:rsidTr="00A35D3F">
        <w:trPr>
          <w:trHeight w:val="450"/>
        </w:trPr>
        <w:tc>
          <w:tcPr>
            <w:tcW w:w="16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начало отчетного периода (за прошлый год)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План на конец отчетного (текущего) года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Факт на конец отчетного периода</w:t>
            </w: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F20C6C" w:rsidRPr="000A0044" w:rsidTr="00A35D3F">
        <w:trPr>
          <w:trHeight w:val="349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МП</w:t>
            </w:r>
          </w:p>
        </w:tc>
        <w:tc>
          <w:tcPr>
            <w:tcW w:w="7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Пп</w:t>
            </w:r>
            <w:proofErr w:type="spellEnd"/>
          </w:p>
        </w:tc>
        <w:tc>
          <w:tcPr>
            <w:tcW w:w="5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07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7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23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22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F20C6C" w:rsidRPr="000A0044" w:rsidTr="00A35D3F">
        <w:trPr>
          <w:trHeight w:val="300"/>
        </w:trPr>
        <w:tc>
          <w:tcPr>
            <w:tcW w:w="92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>11</w:t>
            </w:r>
          </w:p>
        </w:tc>
        <w:tc>
          <w:tcPr>
            <w:tcW w:w="7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 </w:t>
            </w:r>
          </w:p>
        </w:tc>
        <w:tc>
          <w:tcPr>
            <w:tcW w:w="13678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F20C6C" w:rsidRPr="00CD6124" w:rsidRDefault="00F20C6C" w:rsidP="00A35D3F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                                              </w:t>
            </w:r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«Укрепление общественного здоровья населения </w:t>
            </w:r>
            <w:proofErr w:type="spellStart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>Глазовского</w:t>
            </w:r>
            <w:proofErr w:type="spellEnd"/>
            <w:r w:rsidRPr="00CD6124">
              <w:rPr>
                <w:rFonts w:eastAsia="Times New Roman" w:cs="Times New Roman"/>
                <w:b/>
                <w:kern w:val="0"/>
                <w:sz w:val="20"/>
                <w:szCs w:val="20"/>
                <w:lang w:val="ru-RU" w:eastAsia="ru-RU" w:bidi="ar-SA"/>
              </w:rPr>
              <w:t xml:space="preserve"> района» </w:t>
            </w:r>
          </w:p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</w:tr>
      <w:tr w:rsidR="00F20C6C" w:rsidRPr="000A0044" w:rsidTr="00A35D3F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EE7196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мужчин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16-59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EE7196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E719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C0742">
              <w:rPr>
                <w:color w:val="FF0000"/>
                <w:sz w:val="18"/>
                <w:szCs w:val="18"/>
              </w:rPr>
              <w:t>2083,8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1107</w:t>
            </w:r>
            <w:r w:rsidRPr="00EE7196"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1302,2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val="ru-RU" w:eastAsia="en-US"/>
              </w:rPr>
              <w:t>+194,6</w:t>
            </w: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sz w:val="18"/>
                <w:szCs w:val="18"/>
                <w:lang w:val="ru-RU" w:eastAsia="en-US"/>
              </w:rPr>
              <w:t xml:space="preserve">За 2023 год умерло 250 человек. В структуре причин смертности </w:t>
            </w:r>
            <w:proofErr w:type="spellStart"/>
            <w:r>
              <w:rPr>
                <w:color w:val="FF0000"/>
                <w:sz w:val="18"/>
                <w:szCs w:val="18"/>
                <w:lang w:val="ru-RU" w:eastAsia="en-US"/>
              </w:rPr>
              <w:t>пробладают</w:t>
            </w:r>
            <w:proofErr w:type="spellEnd"/>
            <w:r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proofErr w:type="gramStart"/>
            <w:r>
              <w:rPr>
                <w:color w:val="FF0000"/>
                <w:sz w:val="18"/>
                <w:szCs w:val="18"/>
                <w:lang w:val="ru-RU" w:eastAsia="en-US"/>
              </w:rPr>
              <w:t>сердечно-сосудистые</w:t>
            </w:r>
            <w:proofErr w:type="gramEnd"/>
            <w:r>
              <w:rPr>
                <w:color w:val="FF0000"/>
                <w:sz w:val="18"/>
                <w:szCs w:val="18"/>
                <w:lang w:val="ru-RU" w:eastAsia="en-US"/>
              </w:rPr>
              <w:t xml:space="preserve"> заболевания, злокачественные новообразования,  внешние причины</w:t>
            </w:r>
          </w:p>
        </w:tc>
      </w:tr>
      <w:tr w:rsidR="00F20C6C" w:rsidRPr="000A0044" w:rsidTr="00A35D3F">
        <w:trPr>
          <w:trHeight w:val="465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EE7196" w:rsidRDefault="00F20C6C" w:rsidP="00A35D3F">
            <w:pPr>
              <w:widowControl/>
              <w:suppressAutoHyphens w:val="0"/>
              <w:spacing w:after="16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Смертность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женщин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возрасте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16-54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лет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EE7196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на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100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населения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EE7196">
              <w:rPr>
                <w:color w:val="FF0000"/>
                <w:kern w:val="2"/>
                <w:sz w:val="18"/>
                <w:szCs w:val="18"/>
              </w:rPr>
              <w:t>352,6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>214,4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val="ru-RU" w:eastAsia="en-US"/>
              </w:rPr>
              <w:t>-136,2</w:t>
            </w: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val="ru-RU" w:eastAsia="en-US"/>
              </w:rPr>
              <w:t xml:space="preserve">Снижение </w:t>
            </w:r>
            <w:proofErr w:type="spellStart"/>
            <w:r>
              <w:rPr>
                <w:color w:val="FF0000"/>
                <w:sz w:val="18"/>
                <w:szCs w:val="18"/>
                <w:lang w:val="ru-RU" w:eastAsia="en-US"/>
              </w:rPr>
              <w:t>смерности</w:t>
            </w:r>
            <w:proofErr w:type="spellEnd"/>
            <w:r>
              <w:rPr>
                <w:color w:val="FF0000"/>
                <w:sz w:val="18"/>
                <w:szCs w:val="18"/>
                <w:lang w:val="ru-RU" w:eastAsia="en-US"/>
              </w:rPr>
              <w:t xml:space="preserve"> среди женщин 104 человека</w:t>
            </w: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20C6C" w:rsidRPr="00EE7196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EE7196"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Обращаемость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                             в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медицинские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организации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по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вопросам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здорового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образа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жизни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EE7196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proofErr w:type="spellStart"/>
            <w:r w:rsidRPr="00EE7196">
              <w:rPr>
                <w:color w:val="000000"/>
                <w:sz w:val="18"/>
                <w:szCs w:val="18"/>
              </w:rPr>
              <w:t>человек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из</w:t>
            </w:r>
            <w:proofErr w:type="spellEnd"/>
            <w:r w:rsidRPr="00EE719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color w:val="000000"/>
                <w:sz w:val="18"/>
                <w:szCs w:val="18"/>
              </w:rPr>
              <w:t>тысячи</w:t>
            </w:r>
            <w:proofErr w:type="spellEnd"/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215ACF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15ACF">
              <w:rPr>
                <w:color w:val="FF0000"/>
                <w:sz w:val="18"/>
                <w:szCs w:val="18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6109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</w:t>
            </w: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</w:t>
            </w: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>+2709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sz w:val="18"/>
                <w:szCs w:val="18"/>
                <w:lang w:val="ru-RU"/>
              </w:rPr>
              <w:t xml:space="preserve"> 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FF0000"/>
                <w:kern w:val="2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FF0000"/>
                <w:kern w:val="2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EE7196">
              <w:rPr>
                <w:color w:val="FF0000"/>
                <w:sz w:val="18"/>
                <w:szCs w:val="18"/>
              </w:rPr>
              <w:t>показател</w:t>
            </w:r>
            <w:proofErr w:type="spellEnd"/>
            <w:r>
              <w:rPr>
                <w:color w:val="FF0000"/>
                <w:sz w:val="18"/>
                <w:szCs w:val="18"/>
                <w:lang w:val="ru-RU"/>
              </w:rPr>
              <w:t>ь</w:t>
            </w:r>
            <w:r w:rsidRPr="00EE7196"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color w:val="FF0000"/>
                <w:sz w:val="18"/>
                <w:szCs w:val="18"/>
                <w:lang w:val="ru-RU"/>
              </w:rPr>
              <w:t xml:space="preserve">повысился </w:t>
            </w:r>
            <w:r w:rsidRPr="00EE7196">
              <w:rPr>
                <w:color w:val="FF0000"/>
                <w:sz w:val="18"/>
                <w:szCs w:val="18"/>
              </w:rPr>
              <w:t xml:space="preserve"> с </w:t>
            </w:r>
            <w:r>
              <w:rPr>
                <w:color w:val="FF0000"/>
                <w:sz w:val="18"/>
                <w:szCs w:val="18"/>
                <w:lang w:val="ru-RU"/>
              </w:rPr>
              <w:t>увеличением</w:t>
            </w:r>
            <w:r w:rsidRPr="00EE7196">
              <w:rPr>
                <w:color w:val="FF0000"/>
                <w:sz w:val="18"/>
                <w:szCs w:val="18"/>
              </w:rPr>
              <w:t xml:space="preserve"> </w:t>
            </w:r>
            <w:r w:rsidRPr="00EE7196">
              <w:rPr>
                <w:color w:val="FF0000"/>
                <w:sz w:val="18"/>
                <w:szCs w:val="18"/>
                <w:lang w:val="ru-RU"/>
              </w:rPr>
              <w:t xml:space="preserve">обращений в ЛПУ </w:t>
            </w:r>
            <w:r>
              <w:rPr>
                <w:color w:val="FF0000"/>
                <w:sz w:val="18"/>
                <w:szCs w:val="18"/>
                <w:lang w:val="ru-RU"/>
              </w:rPr>
              <w:t xml:space="preserve">после снятия ограничительных </w:t>
            </w:r>
            <w:proofErr w:type="spellStart"/>
            <w:r>
              <w:rPr>
                <w:color w:val="FF0000"/>
                <w:sz w:val="18"/>
                <w:szCs w:val="18"/>
                <w:lang w:val="ru-RU"/>
              </w:rPr>
              <w:t>мерприятия</w:t>
            </w:r>
            <w:proofErr w:type="spellEnd"/>
            <w:r>
              <w:rPr>
                <w:color w:val="FF0000"/>
                <w:sz w:val="18"/>
                <w:szCs w:val="18"/>
                <w:lang w:val="ru-RU"/>
              </w:rPr>
              <w:t xml:space="preserve"> по </w:t>
            </w:r>
            <w:r w:rsidRPr="00EE7196">
              <w:rPr>
                <w:b/>
                <w:bCs/>
                <w:color w:val="FF0000"/>
                <w:sz w:val="18"/>
                <w:szCs w:val="18"/>
                <w:u w:val="single"/>
              </w:rPr>
              <w:t xml:space="preserve"> </w:t>
            </w:r>
            <w:r w:rsidRPr="00EE7196">
              <w:rPr>
                <w:bCs/>
                <w:color w:val="FF0000"/>
                <w:sz w:val="18"/>
                <w:szCs w:val="18"/>
                <w:lang w:val="en-US"/>
              </w:rPr>
              <w:t>COVID</w:t>
            </w:r>
            <w:r w:rsidRPr="00EE7196">
              <w:rPr>
                <w:bCs/>
                <w:color w:val="FF0000"/>
                <w:sz w:val="18"/>
                <w:szCs w:val="18"/>
              </w:rPr>
              <w:t xml:space="preserve"> – 19</w:t>
            </w:r>
            <w:r w:rsidRPr="00EE7196">
              <w:rPr>
                <w:bCs/>
                <w:color w:val="FF0000"/>
                <w:sz w:val="18"/>
                <w:szCs w:val="18"/>
                <w:lang w:val="ru-RU"/>
              </w:rPr>
              <w:t xml:space="preserve"> </w:t>
            </w:r>
            <w:r>
              <w:rPr>
                <w:bCs/>
                <w:color w:val="FF0000"/>
                <w:sz w:val="18"/>
                <w:szCs w:val="18"/>
                <w:lang w:val="ru-RU"/>
              </w:rPr>
              <w:t xml:space="preserve">. увеличилось количество </w:t>
            </w:r>
            <w:proofErr w:type="gramStart"/>
            <w:r>
              <w:rPr>
                <w:bCs/>
                <w:color w:val="FF0000"/>
                <w:sz w:val="18"/>
                <w:szCs w:val="18"/>
                <w:lang w:val="ru-RU"/>
              </w:rPr>
              <w:t>прошедших</w:t>
            </w:r>
            <w:proofErr w:type="gramEnd"/>
            <w:r>
              <w:rPr>
                <w:bCs/>
                <w:color w:val="FF0000"/>
                <w:sz w:val="18"/>
                <w:szCs w:val="18"/>
                <w:lang w:val="ru-RU"/>
              </w:rPr>
              <w:t xml:space="preserve"> диспансеризацию</w:t>
            </w:r>
            <w:r w:rsidRPr="00EE7196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</w:rPr>
            </w:pP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 xml:space="preserve">Доля населения, охваченного профилактическими мероприятиями (диспансеризация                              и </w:t>
            </w: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lastRenderedPageBreak/>
              <w:t>профилактическими осмотрами) **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DC0742" w:rsidRDefault="00F20C6C" w:rsidP="00A35D3F">
            <w:pPr>
              <w:spacing w:after="200"/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>48,9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>+13,9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0C6C" w:rsidRDefault="00F20C6C" w:rsidP="00A35D3F">
            <w:pPr>
              <w:spacing w:after="160" w:line="254" w:lineRule="auto"/>
              <w:rPr>
                <w:color w:val="FF0000"/>
                <w:sz w:val="18"/>
                <w:szCs w:val="18"/>
                <w:lang w:val="ru-RU"/>
              </w:rPr>
            </w:pPr>
            <w:proofErr w:type="spellStart"/>
            <w:r>
              <w:rPr>
                <w:color w:val="FF0000"/>
                <w:sz w:val="18"/>
                <w:szCs w:val="18"/>
                <w:lang w:val="ru-RU"/>
              </w:rPr>
              <w:t>Поставленый</w:t>
            </w:r>
            <w:proofErr w:type="spellEnd"/>
            <w:r>
              <w:rPr>
                <w:color w:val="FF0000"/>
                <w:sz w:val="18"/>
                <w:szCs w:val="18"/>
                <w:lang w:val="ru-RU"/>
              </w:rPr>
              <w:t xml:space="preserve"> план  был перевыполнен на 32%</w:t>
            </w: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EE7196">
              <w:rPr>
                <w:sz w:val="18"/>
                <w:szCs w:val="18"/>
              </w:rPr>
              <w:t>Доля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граждан</w:t>
            </w:r>
            <w:proofErr w:type="spellEnd"/>
            <w:r w:rsidRPr="00EE7196">
              <w:rPr>
                <w:sz w:val="18"/>
                <w:szCs w:val="18"/>
              </w:rPr>
              <w:t xml:space="preserve">, </w:t>
            </w:r>
            <w:proofErr w:type="spellStart"/>
            <w:r w:rsidRPr="00EE7196">
              <w:rPr>
                <w:sz w:val="18"/>
                <w:szCs w:val="18"/>
              </w:rPr>
              <w:t>систематически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занимающихся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физической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  <w:proofErr w:type="spellStart"/>
            <w:r w:rsidRPr="00EE7196">
              <w:rPr>
                <w:sz w:val="18"/>
                <w:szCs w:val="18"/>
              </w:rPr>
              <w:t>культурой</w:t>
            </w:r>
            <w:proofErr w:type="spellEnd"/>
            <w:r w:rsidRPr="00EE7196">
              <w:rPr>
                <w:sz w:val="18"/>
                <w:szCs w:val="18"/>
              </w:rPr>
              <w:t xml:space="preserve"> и </w:t>
            </w:r>
            <w:proofErr w:type="spellStart"/>
            <w:r w:rsidRPr="00EE7196">
              <w:rPr>
                <w:sz w:val="18"/>
                <w:szCs w:val="18"/>
              </w:rPr>
              <w:t>спортом</w:t>
            </w:r>
            <w:proofErr w:type="spellEnd"/>
            <w:r w:rsidRPr="00EE71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EE7196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</w:rPr>
            </w:pPr>
            <w:r w:rsidRPr="00EE7196">
              <w:rPr>
                <w:sz w:val="18"/>
                <w:szCs w:val="18"/>
              </w:rPr>
              <w:t>%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 xml:space="preserve"> 52,3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FF0000"/>
                <w:kern w:val="2"/>
                <w:sz w:val="18"/>
                <w:szCs w:val="18"/>
                <w:lang w:val="ru-RU" w:eastAsia="en-US"/>
              </w:rPr>
              <w:t>+1,7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FF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20C6C" w:rsidRDefault="00F20C6C" w:rsidP="00A35D3F">
            <w:pPr>
              <w:spacing w:after="160" w:line="254" w:lineRule="auto"/>
              <w:rPr>
                <w:color w:val="FF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 с пагубным потреблением алкоголя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Pr="004445C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kern w:val="2"/>
                <w:sz w:val="18"/>
                <w:szCs w:val="18"/>
                <w:lang w:val="ru-RU" w:eastAsia="en-US"/>
              </w:rPr>
              <w:t xml:space="preserve">  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  <w:r w:rsidRPr="00EE7196">
              <w:rPr>
                <w:color w:val="000000"/>
                <w:sz w:val="18"/>
                <w:szCs w:val="18"/>
                <w:lang w:val="ru-RU"/>
              </w:rPr>
              <w:t xml:space="preserve"> </w:t>
            </w:r>
            <w:r>
              <w:rPr>
                <w:color w:val="000000"/>
                <w:sz w:val="18"/>
                <w:szCs w:val="18"/>
                <w:lang w:val="ru-RU"/>
              </w:rPr>
              <w:t xml:space="preserve"> </w:t>
            </w: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потребляющих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никотинсодержащую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продукцию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 w:line="360" w:lineRule="auto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употребляющих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овощи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фрукты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ежедневно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менее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400 г (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употребляющих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поваренную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соль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не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более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            5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грамм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lastRenderedPageBreak/>
              <w:t xml:space="preserve">(1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неполная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чайная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ложка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) в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сутки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after="160"/>
              <w:jc w:val="both"/>
              <w:rPr>
                <w:sz w:val="20"/>
                <w:szCs w:val="20"/>
              </w:rPr>
            </w:pP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вреде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пагубного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потребления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алкоголя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Доля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граждан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информированных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о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вреде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табакокурения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     и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никотинсодержащей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продукции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(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данные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онлайн-анкетирования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взрослого</w:t>
            </w:r>
            <w:proofErr w:type="spellEnd"/>
            <w:r w:rsidRPr="0077264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77264B">
              <w:rPr>
                <w:rFonts w:eastAsia="Calibri"/>
                <w:sz w:val="20"/>
                <w:szCs w:val="20"/>
                <w:lang w:eastAsia="en-US"/>
              </w:rPr>
              <w:t>населения</w:t>
            </w:r>
            <w:proofErr w:type="spellEnd"/>
            <w:r w:rsidRPr="0077264B">
              <w:rPr>
                <w:rFonts w:eastAsia="Calibri"/>
                <w:color w:val="000000"/>
                <w:sz w:val="20"/>
                <w:szCs w:val="20"/>
                <w:lang w:eastAsia="en-US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jc w:val="center"/>
            </w:pPr>
            <w:r w:rsidRPr="007C0961"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граждан, информированных о вреде избыточного потребления поваренной соли</w:t>
            </w:r>
            <w:r w:rsidRPr="00DC0742">
              <w:rPr>
                <w:rFonts w:eastAsia="Calibri" w:cs="Times New Roman"/>
                <w:b/>
                <w:kern w:val="0"/>
                <w:sz w:val="20"/>
                <w:szCs w:val="20"/>
                <w:lang w:val="ru-RU" w:eastAsia="en-US" w:bidi="ar-SA"/>
              </w:rPr>
              <w:t xml:space="preserve"> 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 сутки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Доля граждан, информированных о пользе ежедневного 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>потребления овощей и фруктов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lastRenderedPageBreak/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Доля граждан, информированных о вреде переработанного мясо (данные онлайн-анкетирования взрослого населения)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15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Доля граждан, информированных                             о необходимости физической активности </w:t>
            </w: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(данные онлайн-анкетирования</w:t>
            </w: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взрослого населения</w:t>
            </w: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) **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%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77264B" w:rsidRDefault="00F20C6C" w:rsidP="00A35D3F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предприятий, реализующих корпоративную программу укрепления здоровья работников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Охват работников, включенных                                                в корпоративные программы по укреплению здоровья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en-US" w:bidi="ar-SA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проведенных спортивно-массовых мероприятий в МО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59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+3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19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утвержденных нормативно-правовых актов по вопросам формирования ЗОЖ, включая профилактику </w:t>
            </w:r>
            <w:proofErr w:type="spell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табакокурения</w:t>
            </w:r>
            <w:proofErr w:type="spell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, потребления алкоголя, наркотиков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+1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проведенных целевых оперативно – профилактических мероприятий, рейдов, контролирующих исполнение законодательных актов                  по профилактике </w:t>
            </w:r>
            <w:proofErr w:type="spell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табакокурения</w:t>
            </w:r>
            <w:proofErr w:type="spell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, потребления алкоголя, наркотико</w:t>
            </w:r>
            <w:proofErr w:type="gramStart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в(</w:t>
            </w:r>
            <w:proofErr w:type="gramEnd"/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рейды)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мероприятия, направленных                                       на профилактику заболеваний репродуктивной системы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48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22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мероприятия, направленные                                 на первичную профилактику заболеваний полости рта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48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+8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23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Количество волонтеров, участвующих в проведении профилактических мероприятий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Чел.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52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  <w:r>
              <w:rPr>
                <w:color w:val="000000"/>
                <w:sz w:val="18"/>
                <w:szCs w:val="18"/>
                <w:lang w:val="ru-RU" w:eastAsia="en-US"/>
              </w:rPr>
              <w:t>+4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F20C6C" w:rsidRPr="000A0044" w:rsidTr="00A35D3F">
        <w:trPr>
          <w:trHeight w:val="234"/>
        </w:trPr>
        <w:tc>
          <w:tcPr>
            <w:tcW w:w="92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C6C" w:rsidRPr="000A0044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widowControl/>
              <w:suppressAutoHyphens w:val="0"/>
              <w:spacing w:after="160" w:line="259" w:lineRule="auto"/>
              <w:textAlignment w:val="auto"/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18"/>
                <w:szCs w:val="18"/>
                <w:lang w:val="ru-RU" w:eastAsia="en-US" w:bidi="ar-SA"/>
              </w:rPr>
              <w:t>24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after="160"/>
              <w:jc w:val="both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RU" w:eastAsia="ru-RU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Количество мероприятия по улучшению окружающей среды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20C6C" w:rsidRDefault="00F20C6C" w:rsidP="00A35D3F">
            <w:pPr>
              <w:spacing w:after="200"/>
              <w:jc w:val="center"/>
              <w:rPr>
                <w:rFonts w:eastAsia="Calibri"/>
                <w:sz w:val="18"/>
                <w:szCs w:val="18"/>
                <w:lang w:val="ru-RU"/>
              </w:rPr>
            </w:pPr>
            <w:r>
              <w:rPr>
                <w:rFonts w:eastAsia="Calibri"/>
                <w:sz w:val="18"/>
                <w:szCs w:val="18"/>
                <w:lang w:val="ru-RU"/>
              </w:rPr>
              <w:t>Ед.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DC0742" w:rsidRDefault="00F20C6C" w:rsidP="00A35D3F">
            <w:pPr>
              <w:widowControl/>
              <w:suppressAutoHyphens w:val="0"/>
              <w:spacing w:line="276" w:lineRule="auto"/>
              <w:jc w:val="center"/>
              <w:textAlignment w:val="auto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C0742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kern w:val="2"/>
                <w:sz w:val="18"/>
                <w:szCs w:val="18"/>
                <w:lang w:val="ru-RU" w:eastAsia="en-US"/>
              </w:rPr>
            </w:pPr>
            <w:r>
              <w:rPr>
                <w:kern w:val="2"/>
                <w:sz w:val="18"/>
                <w:szCs w:val="18"/>
                <w:lang w:val="ru-RU" w:eastAsia="en-US"/>
              </w:rPr>
              <w:t>12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Default="00F20C6C" w:rsidP="00A35D3F">
            <w:pPr>
              <w:spacing w:after="160" w:line="254" w:lineRule="auto"/>
              <w:jc w:val="center"/>
              <w:rPr>
                <w:color w:val="000000"/>
                <w:sz w:val="18"/>
                <w:szCs w:val="18"/>
                <w:lang w:val="ru-RU" w:eastAsia="en-US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20C6C" w:rsidRPr="00EE7196" w:rsidRDefault="00F20C6C" w:rsidP="00A35D3F">
            <w:pPr>
              <w:spacing w:after="160" w:line="254" w:lineRule="auto"/>
              <w:jc w:val="center"/>
              <w:rPr>
                <w:color w:val="000000"/>
                <w:kern w:val="2"/>
                <w:sz w:val="18"/>
                <w:szCs w:val="18"/>
                <w:lang w:val="ru-RU" w:eastAsia="en-US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0C6C" w:rsidRPr="00EE7196" w:rsidRDefault="00F20C6C" w:rsidP="00A35D3F">
            <w:pPr>
              <w:spacing w:after="160" w:line="254" w:lineRule="auto"/>
              <w:rPr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DE24F2" w:rsidRDefault="00DE24F2">
      <w:bookmarkStart w:id="0" w:name="_GoBack"/>
      <w:bookmarkEnd w:id="0"/>
    </w:p>
    <w:sectPr w:rsidR="00DE24F2" w:rsidSect="00F20C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6C"/>
    <w:rsid w:val="00DE24F2"/>
    <w:rsid w:val="00F2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6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C6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6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0C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2024-04-23T12:50:00Z</dcterms:created>
  <dcterms:modified xsi:type="dcterms:W3CDTF">2024-04-23T12:52:00Z</dcterms:modified>
</cp:coreProperties>
</file>