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Форма 2.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lang w:eastAsia="ru-RU"/>
        </w:rPr>
        <w:t xml:space="preserve"> о выполнении основных мероприятий муниципальной подпрограммы</w:t>
      </w:r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«Содержание и развитие жилищно-коммунальной инфраструктуры»</w:t>
      </w:r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 12 месяцев 2023 года.</w:t>
      </w:r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(ПРИЛОЖЕНИЕ 2)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2127"/>
        <w:gridCol w:w="1150"/>
        <w:gridCol w:w="1735"/>
        <w:gridCol w:w="1897"/>
        <w:gridCol w:w="2356"/>
        <w:gridCol w:w="1559"/>
      </w:tblGrid>
      <w:tr w:rsidR="004E41AC" w:rsidTr="004E41AC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E41AC" w:rsidTr="004E41AC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</w:p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Территориальное развитие градостроительство и землеустройство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 проекты внесения изменений в генеральные планы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»; разработан проект Генерального плана и проект внесения изменений в ПЗЗ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 проекты внесения изменений в ПЗЗ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«Выдача разрешений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строительство объектов 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муниципальной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Оказано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Подготовка градостроительного плана земельного участка по инициативе органа местного самоуправления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«Подготовка и выдача градостроительных планов земельных участков»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«Предоставление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муниципальной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Оказано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Обращений не поступало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«Присвоение адресов объектам недвижимости в районе»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Оказывается услуга территориальными отделами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ведется ГИС «ОТДО»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Предоставление сведений из информационной системы обеспечения градостроительной деятельности в муниципальном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сведений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232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публичных слушаний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общественные обсуждения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терпланов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теротдела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работ по изготовлению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картопланов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Установление границ населенных пунктов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ведется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работ по ликвидации скотомогильников в документах территориального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ликвидации скотомогильников в документах территориального планирования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Pr="004E41AC" w:rsidRDefault="004E41AC">
            <w:pPr>
              <w:spacing w:after="0"/>
              <w:rPr>
                <w:rFonts w:ascii="Times New Roman" w:hAnsi="Times New Roman" w:cs="Times New Roman"/>
              </w:rPr>
            </w:pPr>
            <w:r w:rsidRPr="004E41AC">
              <w:rPr>
                <w:rFonts w:ascii="Times New Roman" w:hAnsi="Times New Roman" w:cs="Times New Roman"/>
              </w:rPr>
              <w:t>Ведутся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Проведение инженерно-изыскательских работ и разработка проектной документации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after="0"/>
            </w:pPr>
          </w:p>
        </w:tc>
      </w:tr>
    </w:tbl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2127"/>
        <w:gridCol w:w="1150"/>
        <w:gridCol w:w="1735"/>
        <w:gridCol w:w="1897"/>
        <w:gridCol w:w="2214"/>
        <w:gridCol w:w="1701"/>
      </w:tblGrid>
      <w:tr w:rsidR="004E41AC" w:rsidTr="004E41AC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E41AC" w:rsidTr="004E41AC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жилищного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отдел ЖКХ и транспорта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2015-2024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Формирование фонда капитального ремонта, организация проведения капительного ремонта общего имущества  в многоквартирных домах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Дзякино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Советская, д.1 проведен ремонт системы электроснабжения, ремонт крыши проведен в следующих многоквартирных домах: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отдыха Чепца, д.1,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п.Дом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отдыха Чепца, д.2,  ремонт системы водоснабжения и электроснабжения проведен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с.Дзякино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Советская, д.3а.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 и содержание жилищного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отдел ЖКХ и транспорта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 благоприятных и безопасных условий проживания жителей, надлежащее содержание общего имущества МКД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Заключены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догоровы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содержание общего имущества в МКД с управляющими компаниями и непосредственное управление МКД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ЖКХ и транспорта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2015-2024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Переселение граждан из многоквартирных домов, признанных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до 1 января 2017 года в установленном порядке аварийными и подлежащими сносу или реконструкции в связи с физическим износом в процессе их эксплуатации;</w:t>
            </w:r>
          </w:p>
          <w:p w:rsidR="004E41AC" w:rsidRDefault="004E41A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улучшение условий проживания граждан.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Была проведена работа по переселению граждан в рамках заключенного соглашения между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Мистроем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 и Администрацией района. Ведутся работы по переселению этапа 2022 года и 2023 года.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 и транспорта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 мероприятий, утверждается распоряжением Администрации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район"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 бюджета муниципального образования, выделенные на подготовку к отопительному периоду 2023-2024 года, составляют 13408,564 тыс. руб. 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Приобретены насосы для капитального ремонта артезианских скважин в населенных пунктах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 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Приобретено газогорелочное устройство мощностью 320-2300 кВт  в котельную №2 с. Понино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Приобретен котел мощностью 0,8 МВт на центральную котельную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Трубашур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Приобретен котел мощностью 0,63 МВт на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центральную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котльную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Курегово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4E41AC" w:rsidRDefault="004E41AC">
            <w:pPr>
              <w:pStyle w:val="a5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Проводятся работы по капитальному ремонту:</w:t>
            </w:r>
          </w:p>
          <w:p w:rsidR="004E41AC" w:rsidRDefault="004E41AC">
            <w:pPr>
              <w:pStyle w:val="a5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систем водоснабжения по ул.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(магистральный водопровод)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Солдырь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КНС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Штанигурт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участка водопроводных сетей в д. Татарские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Парзи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  <w:proofErr w:type="gramEnd"/>
          </w:p>
          <w:p w:rsidR="004E41AC" w:rsidRDefault="004E41A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Аквафонд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в 2023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проведены мероприятия  в рамках Концессионного соглашения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 и реконструкция объектов коммунальной инфраструктуры (формирование заявок на строительство и реконструкцию объектов коммунальной инфраструктуры за счет бюджетных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включения в перечень объектов капитального строительства Удмуртской Республики)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 ЖКХ и транспорта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2015-2024 гг.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Включение объектов</w:t>
            </w:r>
          </w:p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Направлена заявка на 2024 год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Министерство строительства, жилищно-коммунального хозяйства и энергетики 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тепловой сети на участке N 21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 Понино;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системы водоснабжения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Штанигурт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участков сетей водоснабжения по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Олимпийской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Сясеговской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Золотарево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Приобретение материалов для капитального ремонта сетей водоснабжения в населенных пунктах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Приобретение насосов для капитального ремонта артезианских скважин в населенных пунктах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Приобретение насосов для замены на КНС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участка сетей водоснабжения по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Мира,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Советской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Дзякино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участка сетей водоснабжения по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Южной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Кочишево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Приобретение шкафов управления насосами для капитального ремонта артезианских скважин и каптажей в населенных пунктах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участков сетей водоснабжения по ул. Береговой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Капитальный ремонт участков сетей водоснабжения по ул. Береговой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139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Утверждена схема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 и транспорта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Направлена заявка на 2024 год в Министерство строительства, жилищно-коммунального хозяйства и энергетики УР на получение субсидии для разработки схем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2127"/>
        <w:gridCol w:w="1150"/>
        <w:gridCol w:w="1735"/>
        <w:gridCol w:w="1897"/>
        <w:gridCol w:w="2356"/>
        <w:gridCol w:w="1559"/>
      </w:tblGrid>
      <w:tr w:rsidR="008D43F7" w:rsidTr="008D43F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Управляющие компании и сельскохозяйственные предприятия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года,  весенний субботник с 13 апреля по31 мая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Обеспечение экологической безопасности.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Pr="008D43F7" w:rsidRDefault="008D43F7" w:rsidP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3F7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 xml:space="preserve"> районе сбором и транспортировкой ТКО занимается региональный оператор по обращению с твердыми коммунальными отходам</w:t>
            </w:r>
            <w:proofErr w:type="gramStart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 xml:space="preserve"> ООО «</w:t>
            </w:r>
            <w:proofErr w:type="spellStart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>Спецавтохозяйство</w:t>
            </w:r>
            <w:proofErr w:type="spellEnd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 xml:space="preserve">». Постановлением Администрации муниципального образования «Муниципальный округ </w:t>
            </w:r>
            <w:proofErr w:type="spellStart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D43F7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от 29.07.2023 №1.229 утвержден реестр накопления и график вывоза твердых бытовых отходов.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мероприятий по санитарной очистке и благоустройству территории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года,  весенний субботник с 13 апреля по31 мая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экологической безопасности.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 w:rsidP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Проведен весенний и осенний месячник по санитарной очистке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 муниципальных правовых актов,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принятых органами местного самоуправления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сфере благоустройства.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весеннего и осеннего месячника по санитарной очистке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района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 w:rsidP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Проведен весенний и осенний месячник по санитарной очистке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  <w:p w:rsidR="008D43F7" w:rsidRDefault="008D43F7" w:rsidP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3F7" w:rsidRDefault="008D43F7">
            <w:pPr>
              <w:spacing w:after="0"/>
            </w:pP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Проведена  акция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8D43F7" w:rsidRDefault="008D4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и просвещение населения в сфере экологического состояния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территориирайона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благоустройства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распространяется через социальные сети, на официальном сайте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Отлов и содержание безнадзорных животных (выполнение государственных полномочий)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Безопасность жителей района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3F7" w:rsidRDefault="008D43F7" w:rsidP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 муниципальный контракт на отлов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3F7" w:rsidTr="008D43F7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3F7" w:rsidRDefault="008D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43F7" w:rsidRDefault="008D43F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ликвидации несанкционированной свалки на территории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3F7" w:rsidRDefault="008D43F7" w:rsidP="00A35D3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Администрации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3F7" w:rsidRDefault="008D43F7" w:rsidP="00A35D3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</w:t>
            </w:r>
          </w:p>
          <w:p w:rsidR="008D43F7" w:rsidRDefault="008D43F7" w:rsidP="00A35D3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3F7" w:rsidRDefault="008D43F7" w:rsidP="00A35D3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Экологическая безопасность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3F7" w:rsidRDefault="008D43F7" w:rsidP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Несанкционированные свалки ликвидировались во время субботников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3F7" w:rsidRDefault="008D43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49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694"/>
        <w:gridCol w:w="2127"/>
        <w:gridCol w:w="867"/>
        <w:gridCol w:w="975"/>
        <w:gridCol w:w="1968"/>
        <w:gridCol w:w="3206"/>
        <w:gridCol w:w="1276"/>
      </w:tblGrid>
      <w:tr w:rsidR="00FB71B7" w:rsidTr="00FB71B7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8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плановый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3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B71B7" w:rsidTr="00FB71B7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Развитие транспортной системы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сети маршрутов регулярных перевозок автомобильным транспортом общего пользования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2015-2024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Удовлетворение потребности населения в пригородных перевозках, полномочия  по организации  маршрутов регулярных перевозок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с мая 2016 года переданы на уровень Министерства транспорта и дорожного хозяйства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Согласование межмуниципальных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Муниципальные маршруты регулярных перевозок отсутствуют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2023 года было  организованно содержание автомобильных дорог общего пользования, мостов и иных транспортных инженерных сооружений.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Работы по содержанию автомобильных дорог местного значения, в том числе расчистка,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грейдирование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отсыпка, выполняются в соответствии с заключенными контрактами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20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2015-2024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в  границах населенных пунктов осуществляется в соответствии с заключенными контрактами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123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местного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значения и сооружений на них, по которым проходят маршруты школьных автобусов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2015-2024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2023 году  на содержание школьных маршрутов израсходовано </w:t>
            </w:r>
            <w:r>
              <w:t>5462 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рублей. Работы по содержанию школьных маршрутов выполнены в рамках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71B7" w:rsidTr="00FB71B7">
        <w:trPr>
          <w:trHeight w:val="18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автомобильных дорог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2015-2024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2023 году проведен ремонт автодорог на сумму 15300060,61 руб.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Парзи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Абагурт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д. Адам ул.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Адамская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д. Адам ул.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Ураковская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с. Октябрьский ул. Рябиновая, с. Октябрьский ул. Октябрьская,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Отогурт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ул. Набережная,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Качкашур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 Новая,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 Луговая,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Дзякино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 Торфяная,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Кожиль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ул. Пушкина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71B7" w:rsidTr="00FB71B7">
        <w:trPr>
          <w:trHeight w:val="18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2015-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2024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безопасности дорожного движения. 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Муниципальный контроль не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проводился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71B7" w:rsidTr="00FB71B7">
        <w:trPr>
          <w:trHeight w:val="153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2015-2024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технической документации в соответствии с действующим законодательством.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Проведена паспортизация автомобильных дорог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E24F2" w:rsidRDefault="00DE24F2"/>
    <w:sectPr w:rsidR="00DE24F2" w:rsidSect="004E41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AC"/>
    <w:rsid w:val="004E41AC"/>
    <w:rsid w:val="008D43F7"/>
    <w:rsid w:val="00DE24F2"/>
    <w:rsid w:val="00FB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1AC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4E41AC"/>
  </w:style>
  <w:style w:type="paragraph" w:styleId="a5">
    <w:name w:val="List Paragraph"/>
    <w:basedOn w:val="a"/>
    <w:link w:val="a4"/>
    <w:uiPriority w:val="34"/>
    <w:qFormat/>
    <w:rsid w:val="004E4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1AC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4E41AC"/>
  </w:style>
  <w:style w:type="paragraph" w:styleId="a5">
    <w:name w:val="List Paragraph"/>
    <w:basedOn w:val="a"/>
    <w:link w:val="a4"/>
    <w:uiPriority w:val="34"/>
    <w:qFormat/>
    <w:rsid w:val="004E4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2024-04-23T13:47:00Z</dcterms:created>
  <dcterms:modified xsi:type="dcterms:W3CDTF">2024-04-23T14:08:00Z</dcterms:modified>
</cp:coreProperties>
</file>