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DC" w:rsidRDefault="00FF30DC" w:rsidP="00FF30DC">
      <w:pPr>
        <w:ind w:right="140"/>
        <w:jc w:val="center"/>
        <w:rPr>
          <w:b/>
          <w:sz w:val="24"/>
          <w:szCs w:val="24"/>
          <w:lang w:eastAsia="en-US"/>
        </w:rPr>
      </w:pPr>
    </w:p>
    <w:p w:rsidR="00FF30DC" w:rsidRPr="008472C5" w:rsidRDefault="00FF30DC" w:rsidP="00FF30DC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Предварительные итоги</w:t>
      </w:r>
    </w:p>
    <w:p w:rsidR="00FF30DC" w:rsidRPr="008472C5" w:rsidRDefault="00FF30DC" w:rsidP="00FF30DC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 xml:space="preserve"> социально-экономического развития </w:t>
      </w:r>
    </w:p>
    <w:p w:rsidR="00FF30DC" w:rsidRPr="008472C5" w:rsidRDefault="00FF30DC" w:rsidP="00FF30DC">
      <w:pPr>
        <w:autoSpaceDE w:val="0"/>
        <w:autoSpaceDN w:val="0"/>
        <w:jc w:val="center"/>
        <w:rPr>
          <w:b/>
          <w:bCs/>
          <w:kern w:val="0"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муниципального образования «</w:t>
      </w:r>
      <w:r>
        <w:rPr>
          <w:b/>
          <w:bCs/>
          <w:kern w:val="0"/>
          <w:sz w:val="24"/>
          <w:szCs w:val="24"/>
        </w:rPr>
        <w:t>Кожильское</w:t>
      </w:r>
      <w:r w:rsidRPr="008472C5">
        <w:rPr>
          <w:b/>
          <w:bCs/>
          <w:kern w:val="0"/>
          <w:sz w:val="24"/>
          <w:szCs w:val="24"/>
        </w:rPr>
        <w:t>»</w:t>
      </w:r>
    </w:p>
    <w:p w:rsidR="00FF30DC" w:rsidRPr="008472C5" w:rsidRDefault="00FF30DC" w:rsidP="00FF30DC">
      <w:pPr>
        <w:jc w:val="center"/>
        <w:rPr>
          <w:b/>
          <w:sz w:val="24"/>
          <w:szCs w:val="24"/>
        </w:rPr>
      </w:pPr>
      <w:r w:rsidRPr="008472C5">
        <w:rPr>
          <w:b/>
          <w:bCs/>
          <w:kern w:val="0"/>
          <w:sz w:val="24"/>
          <w:szCs w:val="24"/>
        </w:rPr>
        <w:t>за 9 месяцев 2</w:t>
      </w:r>
      <w:r w:rsidR="00AD644E">
        <w:rPr>
          <w:b/>
          <w:bCs/>
          <w:kern w:val="0"/>
          <w:sz w:val="24"/>
          <w:szCs w:val="24"/>
        </w:rPr>
        <w:t>020</w:t>
      </w:r>
      <w:r w:rsidRPr="008472C5">
        <w:rPr>
          <w:b/>
          <w:bCs/>
          <w:kern w:val="0"/>
          <w:sz w:val="24"/>
          <w:szCs w:val="24"/>
        </w:rPr>
        <w:t>года и ожидаемые итоги социально-экономического развития муниципального образования «</w:t>
      </w:r>
      <w:r>
        <w:rPr>
          <w:b/>
          <w:bCs/>
          <w:kern w:val="0"/>
          <w:sz w:val="24"/>
          <w:szCs w:val="24"/>
        </w:rPr>
        <w:t>Кожильское</w:t>
      </w:r>
      <w:r w:rsidRPr="008472C5">
        <w:rPr>
          <w:b/>
          <w:bCs/>
          <w:kern w:val="0"/>
          <w:sz w:val="24"/>
          <w:szCs w:val="24"/>
        </w:rPr>
        <w:t>» за 20</w:t>
      </w:r>
      <w:r w:rsidR="00AD644E">
        <w:rPr>
          <w:b/>
          <w:bCs/>
          <w:kern w:val="0"/>
          <w:sz w:val="24"/>
          <w:szCs w:val="24"/>
        </w:rPr>
        <w:t>20</w:t>
      </w:r>
      <w:r w:rsidR="00C03553">
        <w:rPr>
          <w:b/>
          <w:bCs/>
          <w:kern w:val="0"/>
          <w:sz w:val="24"/>
          <w:szCs w:val="24"/>
        </w:rPr>
        <w:t xml:space="preserve"> </w:t>
      </w:r>
      <w:bookmarkStart w:id="0" w:name="_GoBack"/>
      <w:bookmarkEnd w:id="0"/>
      <w:r w:rsidRPr="008472C5">
        <w:rPr>
          <w:b/>
          <w:bCs/>
          <w:kern w:val="0"/>
          <w:sz w:val="24"/>
          <w:szCs w:val="24"/>
        </w:rPr>
        <w:t>год</w:t>
      </w:r>
      <w:r>
        <w:rPr>
          <w:b/>
          <w:bCs/>
          <w:kern w:val="0"/>
          <w:sz w:val="24"/>
          <w:szCs w:val="24"/>
        </w:rPr>
        <w:t>.</w:t>
      </w:r>
    </w:p>
    <w:p w:rsidR="00FF30DC" w:rsidRDefault="00FF30DC" w:rsidP="00FF30DC">
      <w:pPr>
        <w:jc w:val="center"/>
        <w:rPr>
          <w:b/>
          <w:sz w:val="24"/>
          <w:szCs w:val="24"/>
        </w:rPr>
      </w:pPr>
    </w:p>
    <w:p w:rsidR="00FF30DC" w:rsidRDefault="00FF30DC" w:rsidP="00FF30DC">
      <w:pPr>
        <w:jc w:val="center"/>
        <w:outlineLvl w:val="0"/>
        <w:rPr>
          <w:b/>
          <w:kern w:val="0"/>
          <w:sz w:val="24"/>
          <w:szCs w:val="24"/>
        </w:rPr>
      </w:pPr>
      <w:r w:rsidRPr="00114742">
        <w:rPr>
          <w:b/>
          <w:kern w:val="0"/>
          <w:sz w:val="24"/>
          <w:szCs w:val="24"/>
        </w:rPr>
        <w:t xml:space="preserve">Основные показатели социально-экономического развития </w:t>
      </w:r>
    </w:p>
    <w:p w:rsidR="00FF30DC" w:rsidRPr="00114742" w:rsidRDefault="00FF30DC" w:rsidP="00FF30DC">
      <w:pPr>
        <w:jc w:val="center"/>
        <w:outlineLvl w:val="0"/>
        <w:rPr>
          <w:b/>
          <w:sz w:val="24"/>
          <w:szCs w:val="24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4977"/>
        <w:gridCol w:w="1701"/>
        <w:gridCol w:w="1275"/>
        <w:gridCol w:w="1134"/>
      </w:tblGrid>
      <w:tr w:rsidR="00FF30DC" w:rsidRPr="00FF30DC" w:rsidTr="00FF30DC">
        <w:trPr>
          <w:trHeight w:val="31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0DC" w:rsidRPr="00FF30DC" w:rsidRDefault="00FF30DC" w:rsidP="00AD644E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201</w:t>
            </w:r>
            <w:r w:rsidR="00AD644E">
              <w:rPr>
                <w:color w:val="000000"/>
                <w:kern w:val="0"/>
                <w:sz w:val="24"/>
                <w:szCs w:val="24"/>
              </w:rPr>
              <w:t>9</w:t>
            </w:r>
            <w:r w:rsidRPr="00FF30DC">
              <w:rPr>
                <w:color w:val="000000"/>
                <w:kern w:val="0"/>
                <w:sz w:val="24"/>
                <w:szCs w:val="24"/>
              </w:rPr>
              <w:t xml:space="preserve"> год факт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0DC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2020 </w:t>
            </w:r>
            <w:r w:rsidR="00FF30DC" w:rsidRPr="00FF30DC">
              <w:rPr>
                <w:color w:val="000000"/>
                <w:kern w:val="0"/>
                <w:sz w:val="24"/>
                <w:szCs w:val="24"/>
              </w:rPr>
              <w:t>год оценка</w:t>
            </w:r>
          </w:p>
        </w:tc>
      </w:tr>
      <w:tr w:rsidR="00FF30DC" w:rsidRPr="00FF30DC" w:rsidTr="00FF30DC">
        <w:trPr>
          <w:trHeight w:val="315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FF30DC" w:rsidRPr="00FF30DC" w:rsidTr="00FF30DC">
        <w:trPr>
          <w:trHeight w:val="630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AD644E" w:rsidRPr="00FF30DC" w:rsidTr="00AD644E">
        <w:trPr>
          <w:trHeight w:val="5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Объем валовой  продукции сельского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4E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млн.руб.</w:t>
            </w:r>
            <w:r w:rsidRPr="00FF30DC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316,3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318,4</w:t>
            </w:r>
          </w:p>
        </w:tc>
      </w:tr>
      <w:tr w:rsidR="00AD644E" w:rsidRPr="00FF30DC" w:rsidTr="00AD644E">
        <w:trPr>
          <w:trHeight w:val="5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4E" w:rsidRPr="00FF30DC" w:rsidRDefault="00AD644E" w:rsidP="00AD644E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4E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млн. руб.</w:t>
            </w:r>
            <w:r w:rsidRPr="00FF30DC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87,115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149,6</w:t>
            </w:r>
          </w:p>
        </w:tc>
      </w:tr>
      <w:tr w:rsidR="00AD644E" w:rsidRPr="00FF30DC" w:rsidTr="00AD644E">
        <w:trPr>
          <w:trHeight w:val="70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 xml:space="preserve">Прибыль прибыльных организаций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4E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млн. руб.</w:t>
            </w:r>
            <w:r w:rsidRPr="00FF30DC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72,1</w:t>
            </w:r>
          </w:p>
        </w:tc>
      </w:tr>
      <w:tr w:rsidR="00AD644E" w:rsidRPr="00FF30DC" w:rsidTr="00AD644E">
        <w:trPr>
          <w:trHeight w:val="6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Фонд оплаты труда (по крупным и средним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4E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тыс. руб.</w:t>
            </w:r>
            <w:r w:rsidRPr="00FF30DC">
              <w:rPr>
                <w:color w:val="000000"/>
                <w:kern w:val="0"/>
                <w:sz w:val="24"/>
                <w:szCs w:val="24"/>
              </w:rPr>
              <w:br/>
              <w:t xml:space="preserve">в ценах соотв. лет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67845,0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69679,0</w:t>
            </w:r>
          </w:p>
        </w:tc>
      </w:tr>
      <w:tr w:rsidR="00AD644E" w:rsidRPr="00FF30DC" w:rsidTr="00AD644E">
        <w:trPr>
          <w:trHeight w:val="11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4E" w:rsidRPr="00FF30DC" w:rsidRDefault="00AD644E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 xml:space="preserve">Номинальная начисленная средняя заработная плата одного работника по крупным и средним организациям (в среднем за период)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25615,0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29032,6</w:t>
            </w:r>
          </w:p>
        </w:tc>
      </w:tr>
      <w:tr w:rsidR="00AD644E" w:rsidRPr="00FF30DC" w:rsidTr="00AD644E">
        <w:trPr>
          <w:trHeight w:val="4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Среднегодовая численность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2046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2010</w:t>
            </w:r>
          </w:p>
        </w:tc>
      </w:tr>
      <w:tr w:rsidR="00AD644E" w:rsidRPr="00FF30DC" w:rsidTr="00AD644E">
        <w:trPr>
          <w:trHeight w:val="8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4E" w:rsidRPr="00FF30DC" w:rsidRDefault="00AD644E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 xml:space="preserve"> 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AD644E" w:rsidRPr="00FF30DC" w:rsidTr="00AD644E">
        <w:trPr>
          <w:trHeight w:val="45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Численность зарегистрированных безработных на конец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32</w:t>
            </w:r>
          </w:p>
        </w:tc>
      </w:tr>
      <w:tr w:rsidR="00AD644E" w:rsidRPr="00FF30DC" w:rsidTr="00AD644E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4E" w:rsidRPr="00FF30DC" w:rsidRDefault="00AD644E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Количество малых предприятий, в том числе микропредприятий,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30 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C0355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</w:tr>
      <w:tr w:rsidR="00FF30DC" w:rsidRPr="00FF30DC" w:rsidTr="00AD644E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Количество средних предприятий,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0DC" w:rsidRPr="00AD644E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AD644E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0DC" w:rsidRPr="00AD644E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AD644E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FF30DC" w:rsidRPr="00FF30DC" w:rsidTr="00AD644E">
        <w:trPr>
          <w:trHeight w:val="9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30DC" w:rsidRPr="00FF30DC" w:rsidRDefault="00FF30DC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Среднесписочная численность работников (без внешних совместителей) по малым предприятиям (включая микропредприятия),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30DC" w:rsidRPr="00FF30DC" w:rsidRDefault="00FF30DC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0DC" w:rsidRPr="00AD644E" w:rsidRDefault="00C03553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0DC" w:rsidRPr="00AD644E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AD644E">
              <w:rPr>
                <w:color w:val="000000"/>
                <w:kern w:val="0"/>
                <w:sz w:val="24"/>
                <w:szCs w:val="24"/>
              </w:rPr>
              <w:t>150</w:t>
            </w:r>
          </w:p>
        </w:tc>
      </w:tr>
      <w:tr w:rsidR="00AD644E" w:rsidRPr="00FF30DC" w:rsidTr="00AD644E">
        <w:trPr>
          <w:trHeight w:val="6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4E" w:rsidRPr="00FF30DC" w:rsidRDefault="00AD644E" w:rsidP="00FF30DC">
            <w:pPr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FF30DC" w:rsidRDefault="00AD644E" w:rsidP="00FF30DC">
            <w:pPr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FF30DC">
              <w:rPr>
                <w:color w:val="000000"/>
                <w:kern w:val="0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C03553" w:rsidP="00470E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44E" w:rsidRPr="00AD644E" w:rsidRDefault="00AD644E" w:rsidP="00470E0E">
            <w:pPr>
              <w:jc w:val="center"/>
              <w:rPr>
                <w:color w:val="000000"/>
                <w:sz w:val="24"/>
                <w:szCs w:val="24"/>
              </w:rPr>
            </w:pPr>
            <w:r w:rsidRPr="00AD644E">
              <w:rPr>
                <w:color w:val="000000"/>
                <w:sz w:val="24"/>
                <w:szCs w:val="24"/>
              </w:rPr>
              <w:t>200</w:t>
            </w:r>
          </w:p>
        </w:tc>
      </w:tr>
    </w:tbl>
    <w:p w:rsidR="00FF30DC" w:rsidRDefault="00FF30DC" w:rsidP="00FF30DC">
      <w:pPr>
        <w:jc w:val="center"/>
        <w:outlineLvl w:val="0"/>
        <w:rPr>
          <w:b/>
          <w:i/>
          <w:sz w:val="24"/>
          <w:szCs w:val="24"/>
        </w:rPr>
      </w:pPr>
    </w:p>
    <w:p w:rsidR="00FF30DC" w:rsidRDefault="00FF30DC" w:rsidP="00FF30DC">
      <w:pPr>
        <w:jc w:val="center"/>
        <w:outlineLvl w:val="0"/>
        <w:rPr>
          <w:sz w:val="24"/>
          <w:szCs w:val="24"/>
        </w:rPr>
      </w:pPr>
    </w:p>
    <w:p w:rsidR="00FF30DC" w:rsidRDefault="00FF30DC" w:rsidP="00FF30D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01.01.2</w:t>
      </w:r>
      <w:r w:rsidR="00AD644E">
        <w:rPr>
          <w:sz w:val="24"/>
          <w:szCs w:val="24"/>
        </w:rPr>
        <w:t>020</w:t>
      </w:r>
      <w:r>
        <w:rPr>
          <w:sz w:val="24"/>
          <w:szCs w:val="24"/>
        </w:rPr>
        <w:t xml:space="preserve"> года численность населения муниципального образования «Кожильское» составила  20</w:t>
      </w:r>
      <w:r w:rsidR="00AD644E">
        <w:rPr>
          <w:sz w:val="24"/>
          <w:szCs w:val="24"/>
        </w:rPr>
        <w:t xml:space="preserve">46 </w:t>
      </w:r>
      <w:r>
        <w:rPr>
          <w:sz w:val="24"/>
          <w:szCs w:val="24"/>
        </w:rPr>
        <w:t>человек.  За 9 месяцев 2</w:t>
      </w:r>
      <w:r w:rsidR="00AD644E">
        <w:rPr>
          <w:sz w:val="24"/>
          <w:szCs w:val="24"/>
        </w:rPr>
        <w:t xml:space="preserve">020 </w:t>
      </w:r>
      <w:r>
        <w:rPr>
          <w:sz w:val="24"/>
          <w:szCs w:val="24"/>
        </w:rPr>
        <w:t xml:space="preserve">года в муниципальном образовании – сельском поселении  родилось </w:t>
      </w:r>
      <w:r w:rsidR="00AD644E">
        <w:rPr>
          <w:sz w:val="24"/>
          <w:szCs w:val="24"/>
        </w:rPr>
        <w:t>10</w:t>
      </w:r>
      <w:r>
        <w:rPr>
          <w:sz w:val="24"/>
          <w:szCs w:val="24"/>
        </w:rPr>
        <w:t xml:space="preserve"> человек, умерло- </w:t>
      </w:r>
      <w:r w:rsidR="00AD644E">
        <w:rPr>
          <w:sz w:val="24"/>
          <w:szCs w:val="24"/>
        </w:rPr>
        <w:t>25</w:t>
      </w:r>
      <w:r>
        <w:rPr>
          <w:sz w:val="24"/>
          <w:szCs w:val="24"/>
        </w:rPr>
        <w:t xml:space="preserve">  человек, естественная убыль населения составила </w:t>
      </w:r>
      <w:r w:rsidR="00AD644E">
        <w:rPr>
          <w:sz w:val="24"/>
          <w:szCs w:val="24"/>
        </w:rPr>
        <w:t xml:space="preserve">15 </w:t>
      </w:r>
      <w:r>
        <w:rPr>
          <w:sz w:val="24"/>
          <w:szCs w:val="24"/>
        </w:rPr>
        <w:t xml:space="preserve"> человек. </w:t>
      </w:r>
    </w:p>
    <w:p w:rsidR="00FF30DC" w:rsidRDefault="00FF30DC" w:rsidP="00FF30DC">
      <w:pPr>
        <w:widowControl w:val="0"/>
        <w:spacing w:line="276" w:lineRule="auto"/>
        <w:ind w:firstLine="720"/>
        <w:jc w:val="both"/>
        <w:rPr>
          <w:bCs/>
          <w:sz w:val="24"/>
          <w:szCs w:val="24"/>
        </w:rPr>
      </w:pPr>
      <w:r w:rsidRPr="004F15C0">
        <w:rPr>
          <w:bCs/>
          <w:sz w:val="24"/>
          <w:szCs w:val="24"/>
        </w:rPr>
        <w:t>По оценке</w:t>
      </w:r>
      <w:r>
        <w:rPr>
          <w:bCs/>
          <w:sz w:val="24"/>
          <w:szCs w:val="24"/>
        </w:rPr>
        <w:t>,</w:t>
      </w:r>
      <w:r w:rsidRPr="004F15C0">
        <w:rPr>
          <w:bCs/>
          <w:sz w:val="24"/>
          <w:szCs w:val="24"/>
        </w:rPr>
        <w:t xml:space="preserve"> </w:t>
      </w:r>
      <w:r w:rsidR="00AD644E">
        <w:rPr>
          <w:bCs/>
          <w:sz w:val="24"/>
          <w:szCs w:val="24"/>
        </w:rPr>
        <w:t>ч</w:t>
      </w:r>
      <w:r>
        <w:rPr>
          <w:bCs/>
          <w:sz w:val="24"/>
          <w:szCs w:val="24"/>
        </w:rPr>
        <w:t>исленность безработных граждан, состоящих на учете в Центре занятости,</w:t>
      </w:r>
      <w:r w:rsidR="00AD644E">
        <w:rPr>
          <w:bCs/>
          <w:sz w:val="24"/>
          <w:szCs w:val="24"/>
        </w:rPr>
        <w:t xml:space="preserve"> в 2020 году </w:t>
      </w:r>
      <w:r>
        <w:rPr>
          <w:bCs/>
          <w:sz w:val="24"/>
          <w:szCs w:val="24"/>
        </w:rPr>
        <w:t xml:space="preserve"> планируется в количестве </w:t>
      </w:r>
      <w:r w:rsidR="00AD644E">
        <w:rPr>
          <w:bCs/>
          <w:sz w:val="24"/>
          <w:szCs w:val="24"/>
        </w:rPr>
        <w:t>32</w:t>
      </w:r>
      <w:r>
        <w:rPr>
          <w:bCs/>
          <w:sz w:val="24"/>
          <w:szCs w:val="24"/>
        </w:rPr>
        <w:t xml:space="preserve"> человек.</w:t>
      </w:r>
    </w:p>
    <w:p w:rsidR="00FF30DC" w:rsidRDefault="00FF30DC" w:rsidP="00FF30DC">
      <w:pPr>
        <w:jc w:val="center"/>
        <w:rPr>
          <w:b/>
          <w:sz w:val="24"/>
          <w:szCs w:val="24"/>
        </w:rPr>
      </w:pPr>
    </w:p>
    <w:p w:rsidR="00FF30DC" w:rsidRDefault="00FF30DC" w:rsidP="00FF30DC">
      <w:pPr>
        <w:jc w:val="center"/>
        <w:rPr>
          <w:b/>
          <w:sz w:val="24"/>
          <w:szCs w:val="24"/>
        </w:rPr>
      </w:pPr>
      <w:r w:rsidRPr="00E234D3">
        <w:rPr>
          <w:b/>
          <w:sz w:val="24"/>
          <w:szCs w:val="24"/>
        </w:rPr>
        <w:t>Исполнение бюджета.</w:t>
      </w:r>
    </w:p>
    <w:p w:rsidR="00FF30DC" w:rsidRPr="00AD644E" w:rsidRDefault="00FF30DC" w:rsidP="00FF30DC">
      <w:pPr>
        <w:ind w:firstLine="540"/>
        <w:jc w:val="both"/>
        <w:rPr>
          <w:sz w:val="24"/>
          <w:szCs w:val="24"/>
        </w:rPr>
      </w:pPr>
    </w:p>
    <w:p w:rsidR="00AD644E" w:rsidRPr="00AD644E" w:rsidRDefault="00AD644E" w:rsidP="00AD644E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Бюджет МО «Кожильское» за 9 месяцев 2020 года исполнен в целом по доходам в объеме 4659,4 тыс. руб., что составляет 117,1% к плану 9 месяцев (Приложение 1),  в том числе:</w:t>
      </w:r>
    </w:p>
    <w:p w:rsidR="00AD644E" w:rsidRPr="00AD644E" w:rsidRDefault="00AD644E" w:rsidP="00AD644E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 xml:space="preserve">–получены налоговые и неналоговые доходы в сумме 949,4 тыс. руб. (76,9% от плана 9 месяцев), </w:t>
      </w:r>
    </w:p>
    <w:p w:rsidR="00AD644E" w:rsidRPr="00AD644E" w:rsidRDefault="00AD644E" w:rsidP="00AD644E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–получены безвозмездные поступления в сумме 3710,0 тыс. руб. (99,1% от плана 9 месяцев).</w:t>
      </w:r>
    </w:p>
    <w:p w:rsidR="00AD644E" w:rsidRPr="00AD644E" w:rsidRDefault="00AD644E" w:rsidP="00AD644E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32,2 тыс. руб. 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Доля собственных доходов в общем объеме составляет 20,4%.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К аналогичному периоду прошлого года исполнение собственных доходов составило 105,9% или получено доходов больше на 52,8 тыс. руб., в связи с поступлением прочих неналоговых доходов,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300,2 тыс. руб., (за 9месяцев 2019 г. поступило 43,0 тыс. руб.).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Из собственных доходов налоговые платежи составили 500,5 тыс. руб. и неналоговые 448,9 тыс. руб.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Поступили прочие неналоговые доходы,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300,2 тыс. руб. (100% от плана 9 месяцев), доходы от продажи земли в сумме 99,1 тыс. руб.(плановые показатели отсутствуют). Также поступили прочие доходы от компенсации затрат бюджетов сельских поселений в сумме 32,1 тыс.руб. (возврат дебиторской задолженности прошлых лет  - от ФСС по больничным листам).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Наибольший удельный вес по структуре собственных доходов бюджета поселения  составляют денежные поступления от населения и организаций на реализацию проектов поддержки местных инициатив – 300,2 тыс. руб. или 31,6%.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Не выполнен план по следующим видам налогов: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по налогу на доходы физических лиц, при плане 328,0 тыс. руб., поступило 271,9 тыс. руб., или 82,9% к плану 9 месяцев,  недополучено 56,1 тыс. руб., в связи с имеющейся недоимкой по НДФЛ и в связи с текущей задолженностью за июнь-август 2020г СПК «Кожильский» в сумме 21,7 тыс. руб., а также в связи с тем, что фактический темп роста по НДФЛ ниже запланированного;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по единому сельскохозяйственному налогу, при плане 150,0 тыс. руб., поступило 55,9 тыс. руб. или 37,3% к плану 9 месяцев, недополучено 94,1 тыс. руб. в связи с переплатой налога на 01.01.2020 по ООО «Чура»;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по налогу на имущество физических лиц, при плане 95,0 тыс. руб., поступило 10,7 тыс. руб. или 11,3% к плану 9 месяцев, недополучено 84,3 тыс. руб., в связи с более поздней отправкой налоговых уведомлений налогоплательщикам (в 2019г -  июль 2019г, а в 2020г - начиная с 17.09.2020) и имеющейся недоимкой;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по земельному налогу, при плане 336,0 тыс. руб., поступило 162,0 тыс. руб. или 48,2% к плану 9 месяцев, недополучено 174,0 тыс. руб. в связи с более поздней отправкой налоговых уведомлений налогоплательщикам (в 2019г -  июль 2019г, а в 2020г - начиная с 17.09.2020) и имеющейся недоимкой;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по доходам от аренды имущества, при плане 9 месяцев 26,0 тыс. руб. поступило 17,5 тыс. руб. 67,3% к плану 9 месяцев, недополучено 8,5 тыс. руб., в связи с задолженностью по аренде имущества ООО «Экосмарт».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lastRenderedPageBreak/>
        <w:t xml:space="preserve">По данным Межрайонной ИФНС России № 2 по УР недоимка в бюджет поселения по сравнению с началом года уменьшилась на 36,6 тыс. руб. и на 01.10.2020г. составила в сумме 147,9 тыс. руб. в т.ч.: 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по налогу на доходы физ. лиц – 0,6 тыс. руб.;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по налогу на имущество физ. лиц – 66,0 тыс. руб.;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по земельному налогу – 81,3 тыс. руб.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 xml:space="preserve">Бюджет поселения по расходам исполнен в объеме 3366,2 тыс. руб. (за аналогичный период 2019 года – 3383,2 тыс. рублей) или 52,5 % исполнения к уточненному плану, в том числе: </w:t>
      </w:r>
    </w:p>
    <w:p w:rsidR="00AD644E" w:rsidRPr="00AD644E" w:rsidRDefault="00AD644E" w:rsidP="00AD644E">
      <w:pPr>
        <w:jc w:val="both"/>
        <w:rPr>
          <w:sz w:val="24"/>
          <w:szCs w:val="24"/>
        </w:rPr>
      </w:pPr>
      <w:r w:rsidRPr="00AD644E">
        <w:rPr>
          <w:sz w:val="24"/>
          <w:szCs w:val="24"/>
        </w:rPr>
        <w:t xml:space="preserve">             По разделу «Общегосударственные вопросы» исполнение составило 1475,5 тыс. руб. или 60,4 % исполнения к уточненному плану (за аналогичный период  2019 года – 1405,6 тыс. рублей). На выплату заработной платы с отчислениями направлено 1120,9 тыс. руб., что составило 76,0 % всех расходов  по органам управления. На оплату услуг связи  израсходовано 28,5 тыс. руб. (за аналогичный период 2019 года – 25,6 тыс. рублей), на ГСМ 41,2 тыс. руб. (за аналогичный период 2019 года – 44,7 тыс. рублей).</w:t>
      </w:r>
    </w:p>
    <w:p w:rsidR="00AD644E" w:rsidRPr="00AD644E" w:rsidRDefault="00AD644E" w:rsidP="00AD644E">
      <w:pPr>
        <w:jc w:val="both"/>
        <w:rPr>
          <w:sz w:val="24"/>
          <w:szCs w:val="24"/>
        </w:rPr>
      </w:pPr>
      <w:r w:rsidRPr="00AD644E">
        <w:rPr>
          <w:sz w:val="24"/>
          <w:szCs w:val="24"/>
        </w:rPr>
        <w:t xml:space="preserve">            За 9 месяцев 2020 года по подразделу 0111 «Резервные фонды» расходы не осуществлялись (годовой план 8,0 тыс. рублей).</w:t>
      </w:r>
      <w:r w:rsidRPr="00AD644E">
        <w:rPr>
          <w:color w:val="C00000"/>
          <w:sz w:val="24"/>
          <w:szCs w:val="24"/>
        </w:rPr>
        <w:t xml:space="preserve">            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Расходы по первичному воинскому учету по подразделу 0203 составили 144,8 тыс. руб. при плане 248,9 тыс. руб., за счет данных средств произведены расходы по оплате труда с отчислениями.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По подразделу 0310 «Обеспечение пожарной безопасности» расходы составили 203,0 тыс. рублей (за аналогичный период  2019 года – 230,2 тыс. рублей) при годовом плане 335,1 тыс. рублей.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осуществлялись (годовой план 3,0 тыс. руб.).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По подразделу 0409 «Дорожное хозяйство (дорожные фонды)» расходы на содержание дорог составили 757,9 тыс. рублей (при годовом плане 1060,5 тыс. рублей).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По подразделу 0412 «Другие вопросы в области национальной экономики» при плане 300,0 тыс. рублей расходы составили 295,0 тыс. рублей.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По разделу 0500 «Жилищно-коммунальное хозяйство» расходы составили 464,2 (при годовом плане 1982,0 тыс. рублей).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По подразделу 0707 «»Молодежная политика» расходы не осуществлялись (годовой план 2,0 тыс. рублей).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По подразделу 1001 «Пенсионное обеспечение» (годовой план 30,0 тыс. руб.) исполнение составило 22,5 тыс. рублей.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По разделу 1100 «Физическая культура и спорт» (годовой план 10,0 тыс. руб.) кассовый расход составил 3,4 тыс. рублей.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За 9 месяцев 2020 года решением Совета депутатов МО «Глазовский район» выделены дополнительные средства: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на ремонт и содержание дорог (дорожные фонды) в размере 453,7 тыс. руб.;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на разработку документов территориального планирования, проектов планировки территории, генпланов в размере 300,0 тыс. рублей;</w:t>
      </w:r>
    </w:p>
    <w:p w:rsidR="00AD644E" w:rsidRPr="00AD644E" w:rsidRDefault="00AD644E" w:rsidP="00AD644E">
      <w:pPr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дотация на сбалансированность 451,3 тыс. рублей, в том числе на приведение памятников, увековечивающих память о погибших в годы Великой Отечественной войны в удовлетворительное состояние в размере 339,5 тыс. рублей; на проведение субботников – 7,9 тыс. рублей, на референдум по Конституции РФ 2020 года – 104,0 тыс. рублей;</w:t>
      </w:r>
    </w:p>
    <w:p w:rsidR="00AD644E" w:rsidRPr="00AD644E" w:rsidRDefault="00AD644E" w:rsidP="00AD644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на софинансирование к субсидии по строительству контейнерной площадки в размере 2,1 тыс. рублей;</w:t>
      </w:r>
    </w:p>
    <w:p w:rsidR="00AD644E" w:rsidRPr="00AD644E" w:rsidRDefault="00AD644E" w:rsidP="00AD644E">
      <w:pPr>
        <w:ind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межбюджетные трансферты на подготовку и проведение празднования 100-летия государственности Удмуртии (благоустройство входных групп) в размере 265,0 тыс. рублей.</w:t>
      </w:r>
    </w:p>
    <w:p w:rsidR="00AD644E" w:rsidRPr="00AD644E" w:rsidRDefault="00AD644E" w:rsidP="00AD644E">
      <w:pPr>
        <w:ind w:right="-581"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lastRenderedPageBreak/>
        <w:t>За 9 месяцев 2020 года из бюджета УР были выделены средства:</w:t>
      </w:r>
    </w:p>
    <w:p w:rsidR="00AD644E" w:rsidRPr="00AD644E" w:rsidRDefault="00AD644E" w:rsidP="00AD644E">
      <w:pPr>
        <w:ind w:right="-581"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на софинансирование проекта развития общественной инфраструктуры, основанного на местной инициативе в размере 1000,0 тыс. рублей;</w:t>
      </w:r>
    </w:p>
    <w:p w:rsidR="00AD644E" w:rsidRPr="00AD644E" w:rsidRDefault="00AD644E" w:rsidP="00AD644E">
      <w:pPr>
        <w:ind w:right="-1"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субсидия на строительство контейнерных площадок в размере 56,7 тыс. рублей;</w:t>
      </w:r>
    </w:p>
    <w:p w:rsidR="00AD644E" w:rsidRPr="00AD644E" w:rsidRDefault="00AD644E" w:rsidP="00AD644E">
      <w:pPr>
        <w:ind w:right="-1"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субвенция по воинскому учету в размере 19,1 тыс. рублей.</w:t>
      </w:r>
    </w:p>
    <w:p w:rsidR="00AD644E" w:rsidRPr="00AD644E" w:rsidRDefault="00AD644E" w:rsidP="00AD644E">
      <w:pPr>
        <w:ind w:right="-1"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За 9 месяцев 2020 года решением Совета депутатов МО «Кожильское» были направлены дополнительные доходы на следующие цели:</w:t>
      </w:r>
    </w:p>
    <w:p w:rsidR="00AD644E" w:rsidRPr="00AD644E" w:rsidRDefault="00AD644E" w:rsidP="00AD644E">
      <w:pPr>
        <w:ind w:right="-1"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 xml:space="preserve">                                                                                                                                          тыс. рублей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888"/>
        <w:gridCol w:w="5065"/>
        <w:gridCol w:w="1560"/>
      </w:tblGrid>
      <w:tr w:rsidR="00AD644E" w:rsidRPr="00AD644E" w:rsidTr="00AD644E">
        <w:trPr>
          <w:trHeight w:val="1095"/>
        </w:trPr>
        <w:tc>
          <w:tcPr>
            <w:tcW w:w="28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44E" w:rsidRPr="00AD644E" w:rsidRDefault="00AD644E" w:rsidP="00470E0E">
            <w:pPr>
              <w:jc w:val="center"/>
              <w:rPr>
                <w:b/>
                <w:bCs/>
                <w:sz w:val="24"/>
                <w:szCs w:val="24"/>
              </w:rPr>
            </w:pPr>
            <w:r w:rsidRPr="00AD644E">
              <w:rPr>
                <w:b/>
                <w:bCs/>
                <w:sz w:val="24"/>
                <w:szCs w:val="24"/>
              </w:rPr>
              <w:t>МО "Кожильское" (решение №189 от 30.04.20)</w:t>
            </w:r>
          </w:p>
        </w:tc>
        <w:tc>
          <w:tcPr>
            <w:tcW w:w="50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644E" w:rsidRPr="00AD644E" w:rsidRDefault="00AD644E" w:rsidP="00470E0E">
            <w:pPr>
              <w:jc w:val="both"/>
              <w:rPr>
                <w:sz w:val="24"/>
                <w:szCs w:val="24"/>
              </w:rPr>
            </w:pPr>
            <w:r w:rsidRPr="00AD644E">
              <w:rPr>
                <w:sz w:val="24"/>
                <w:szCs w:val="24"/>
              </w:rPr>
              <w:t>Благоустройство. Реализация проектов инициативного бюджетирования в муниципальных образованиях в Удмуртской Республике (софинансирование)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44E" w:rsidRPr="00AD644E" w:rsidRDefault="00AD644E" w:rsidP="00470E0E">
            <w:pPr>
              <w:jc w:val="center"/>
              <w:rPr>
                <w:sz w:val="24"/>
                <w:szCs w:val="24"/>
              </w:rPr>
            </w:pPr>
            <w:r w:rsidRPr="00AD644E">
              <w:rPr>
                <w:sz w:val="24"/>
                <w:szCs w:val="24"/>
              </w:rPr>
              <w:t>300,2</w:t>
            </w:r>
          </w:p>
        </w:tc>
      </w:tr>
      <w:tr w:rsidR="00AD644E" w:rsidRPr="00AD644E" w:rsidTr="00AD644E">
        <w:trPr>
          <w:trHeight w:val="390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644E" w:rsidRPr="00AD644E" w:rsidRDefault="00AD644E" w:rsidP="00470E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644E" w:rsidRPr="00AD644E" w:rsidRDefault="00AD644E" w:rsidP="00470E0E">
            <w:pPr>
              <w:jc w:val="both"/>
              <w:rPr>
                <w:b/>
                <w:bCs/>
                <w:sz w:val="24"/>
                <w:szCs w:val="24"/>
              </w:rPr>
            </w:pPr>
            <w:r w:rsidRPr="00AD644E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644E" w:rsidRPr="00AD644E" w:rsidRDefault="00AD644E" w:rsidP="00470E0E">
            <w:pPr>
              <w:jc w:val="center"/>
              <w:rPr>
                <w:b/>
                <w:bCs/>
                <w:sz w:val="24"/>
                <w:szCs w:val="24"/>
              </w:rPr>
            </w:pPr>
            <w:r w:rsidRPr="00AD644E">
              <w:rPr>
                <w:b/>
                <w:bCs/>
                <w:sz w:val="24"/>
                <w:szCs w:val="24"/>
              </w:rPr>
              <w:t>300,2</w:t>
            </w:r>
          </w:p>
        </w:tc>
      </w:tr>
    </w:tbl>
    <w:p w:rsidR="00AD644E" w:rsidRPr="00AD644E" w:rsidRDefault="00AD644E" w:rsidP="00AD644E">
      <w:pPr>
        <w:ind w:right="-852"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fldChar w:fldCharType="begin"/>
      </w:r>
      <w:r w:rsidRPr="00AD644E">
        <w:rPr>
          <w:sz w:val="24"/>
          <w:szCs w:val="24"/>
        </w:rPr>
        <w:instrText xml:space="preserve"> LINK Excel.Sheet.8 "\\\\uran\\_Documents\\_Бюджетники\\_КАТЯ\\Переходящие и дополнительные\\2017\\Дополнительные доходы.xls" "2017!R34C1:R39C7" \a \f 5 \h  \* MERGEFORMAT </w:instrText>
      </w:r>
      <w:r w:rsidRPr="00AD644E">
        <w:rPr>
          <w:sz w:val="24"/>
          <w:szCs w:val="24"/>
        </w:rPr>
        <w:fldChar w:fldCharType="separate"/>
      </w:r>
    </w:p>
    <w:p w:rsidR="00AD644E" w:rsidRPr="00AD644E" w:rsidRDefault="00AD644E" w:rsidP="00AD644E">
      <w:pPr>
        <w:ind w:right="-1" w:firstLine="720"/>
        <w:jc w:val="both"/>
        <w:rPr>
          <w:sz w:val="24"/>
          <w:szCs w:val="24"/>
        </w:rPr>
      </w:pPr>
      <w:r w:rsidRPr="00AD644E">
        <w:rPr>
          <w:sz w:val="24"/>
          <w:szCs w:val="24"/>
        </w:rPr>
        <w:fldChar w:fldCharType="end"/>
      </w:r>
      <w:r w:rsidRPr="00AD644E">
        <w:rPr>
          <w:sz w:val="24"/>
          <w:szCs w:val="24"/>
        </w:rPr>
        <w:t>Просроченная дебиторская задолженность на 30.09.2020 г. составляет 200,3 тыс. рублей (задолженность Межрайонной ИФНС № 2 по УР), просроченная  кредиторская задолженность отсутствует.</w:t>
      </w:r>
    </w:p>
    <w:p w:rsidR="00AD644E" w:rsidRPr="00AD644E" w:rsidRDefault="00AD644E" w:rsidP="00AD644E">
      <w:pPr>
        <w:ind w:right="-1" w:firstLine="708"/>
        <w:jc w:val="both"/>
        <w:rPr>
          <w:sz w:val="24"/>
          <w:szCs w:val="24"/>
        </w:rPr>
      </w:pPr>
      <w:r w:rsidRPr="00AD644E">
        <w:rPr>
          <w:sz w:val="24"/>
          <w:szCs w:val="24"/>
        </w:rPr>
        <w:t xml:space="preserve">Остаток денежных средств на лицевом счете бюджета  МО «Кожильское» по состоянию на 30.09.2020 года составляет 1297,7 тыс. рублей, в том числе субсидия на реализацию проектов инициативного бюджетирования в муниципальных образованиях в Удмуртской Республике 1000,0 тыс. рублей. </w:t>
      </w:r>
    </w:p>
    <w:p w:rsidR="00AD644E" w:rsidRPr="00AD644E" w:rsidRDefault="00AD644E" w:rsidP="00AD644E">
      <w:pPr>
        <w:ind w:right="-1" w:firstLine="708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Разница между решением о бюджете от 17.09.2020 года №202 и уточненным планом на 2020 год по состоянию на 01.10.2020 года в части прогнозируемых доходов и общих расходов составила 19,1 тыс. рублей. Внесение изменений в утвержденный бюджет связано:</w:t>
      </w:r>
    </w:p>
    <w:p w:rsidR="00AD644E" w:rsidRPr="00AD644E" w:rsidRDefault="00AD644E" w:rsidP="00AD644E">
      <w:pPr>
        <w:ind w:right="-1" w:firstLine="540"/>
        <w:jc w:val="both"/>
        <w:rPr>
          <w:sz w:val="24"/>
          <w:szCs w:val="24"/>
        </w:rPr>
      </w:pPr>
      <w:r w:rsidRPr="00AD644E">
        <w:rPr>
          <w:sz w:val="24"/>
          <w:szCs w:val="24"/>
        </w:rPr>
        <w:t>- с выделением субвенции на осуществление первичного воинского учета на территориях, где отсутствуют военные комиссариаты 19,1тыс. рублей (уведомление Министерства финансов УР №892-09-в/у/мбо05-057/1 от 30.09.2020 года).</w:t>
      </w:r>
    </w:p>
    <w:p w:rsidR="00AD644E" w:rsidRPr="00AD644E" w:rsidRDefault="00AD644E" w:rsidP="00AD644E">
      <w:pPr>
        <w:ind w:right="-1"/>
        <w:jc w:val="both"/>
        <w:rPr>
          <w:sz w:val="24"/>
          <w:szCs w:val="24"/>
        </w:rPr>
      </w:pPr>
      <w:r w:rsidRPr="00AD644E">
        <w:rPr>
          <w:sz w:val="24"/>
          <w:szCs w:val="24"/>
        </w:rPr>
        <w:t xml:space="preserve">            По итогам 9 месяцев 2020 года бюджет поселения исполнен с профицитом в сумме 1293,2 тыс. руб.</w:t>
      </w:r>
    </w:p>
    <w:p w:rsidR="00FF30DC" w:rsidRDefault="00FF30DC" w:rsidP="00FF30DC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01.10.20</w:t>
      </w:r>
      <w:r w:rsidR="00AD644E">
        <w:rPr>
          <w:sz w:val="24"/>
          <w:szCs w:val="24"/>
        </w:rPr>
        <w:t xml:space="preserve">20 </w:t>
      </w:r>
      <w:r>
        <w:rPr>
          <w:sz w:val="24"/>
          <w:szCs w:val="24"/>
        </w:rPr>
        <w:t>года  п</w:t>
      </w:r>
      <w:r w:rsidRPr="008472C5">
        <w:rPr>
          <w:sz w:val="24"/>
          <w:szCs w:val="24"/>
        </w:rPr>
        <w:t xml:space="preserve">о данным Единого реестра субъектов малого и среднего предпринимательства Федеральной налоговой службы России, количество субъектов </w:t>
      </w:r>
      <w:r>
        <w:rPr>
          <w:sz w:val="24"/>
          <w:szCs w:val="24"/>
        </w:rPr>
        <w:t>малого и среднего предпринимательства</w:t>
      </w:r>
      <w:r w:rsidRPr="008472C5">
        <w:rPr>
          <w:sz w:val="24"/>
          <w:szCs w:val="24"/>
        </w:rPr>
        <w:t xml:space="preserve"> составил</w:t>
      </w:r>
      <w:r>
        <w:rPr>
          <w:sz w:val="24"/>
          <w:szCs w:val="24"/>
        </w:rPr>
        <w:t xml:space="preserve">о: </w:t>
      </w:r>
      <w:r w:rsidR="00AD644E">
        <w:rPr>
          <w:sz w:val="24"/>
          <w:szCs w:val="24"/>
        </w:rPr>
        <w:t>30</w:t>
      </w:r>
      <w:r>
        <w:rPr>
          <w:sz w:val="24"/>
          <w:szCs w:val="24"/>
        </w:rPr>
        <w:t xml:space="preserve"> единиц, из них индивидуальных предпринимателей – </w:t>
      </w:r>
      <w:r w:rsidR="00AD644E">
        <w:rPr>
          <w:sz w:val="24"/>
          <w:szCs w:val="24"/>
        </w:rPr>
        <w:t>19 и 11</w:t>
      </w:r>
      <w:r>
        <w:rPr>
          <w:sz w:val="24"/>
          <w:szCs w:val="24"/>
        </w:rPr>
        <w:t xml:space="preserve">  юридических лица.</w:t>
      </w:r>
    </w:p>
    <w:p w:rsidR="00FF30DC" w:rsidRDefault="00FF30DC" w:rsidP="00FF30DC">
      <w:pPr>
        <w:ind w:firstLine="709"/>
        <w:contextualSpacing/>
        <w:jc w:val="both"/>
        <w:rPr>
          <w:sz w:val="24"/>
          <w:szCs w:val="24"/>
        </w:rPr>
      </w:pPr>
    </w:p>
    <w:p w:rsidR="00FF30DC" w:rsidRPr="00F45B47" w:rsidRDefault="00FF30DC" w:rsidP="00FF30DC">
      <w:pPr>
        <w:ind w:firstLine="709"/>
        <w:contextualSpacing/>
        <w:jc w:val="both"/>
        <w:rPr>
          <w:b/>
          <w:kern w:val="0"/>
          <w:sz w:val="24"/>
          <w:szCs w:val="24"/>
        </w:rPr>
      </w:pPr>
      <w:r w:rsidRPr="00F45B47">
        <w:rPr>
          <w:b/>
          <w:kern w:val="0"/>
          <w:sz w:val="24"/>
          <w:szCs w:val="24"/>
        </w:rPr>
        <w:t>Производственные показатели сельскохозяйственных предприятий</w:t>
      </w:r>
    </w:p>
    <w:p w:rsidR="00FF30DC" w:rsidRPr="00F45B47" w:rsidRDefault="00AD644E" w:rsidP="00FF30DC">
      <w:pPr>
        <w:keepNext/>
        <w:spacing w:before="120" w:after="120"/>
        <w:ind w:left="1000" w:hanging="432"/>
        <w:jc w:val="center"/>
        <w:outlineLvl w:val="2"/>
        <w:rPr>
          <w:b/>
          <w:kern w:val="0"/>
          <w:sz w:val="24"/>
          <w:szCs w:val="24"/>
        </w:rPr>
      </w:pPr>
      <w:r>
        <w:rPr>
          <w:b/>
          <w:kern w:val="0"/>
          <w:sz w:val="24"/>
          <w:szCs w:val="24"/>
        </w:rPr>
        <w:t xml:space="preserve">за 9 месяцев 2020 </w:t>
      </w:r>
      <w:r w:rsidR="00FF30DC" w:rsidRPr="00F45B47">
        <w:rPr>
          <w:b/>
          <w:kern w:val="0"/>
          <w:sz w:val="24"/>
          <w:szCs w:val="24"/>
        </w:rPr>
        <w:t>года.</w:t>
      </w:r>
    </w:p>
    <w:tbl>
      <w:tblPr>
        <w:tblW w:w="9627" w:type="dxa"/>
        <w:jc w:val="center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9"/>
        <w:gridCol w:w="1277"/>
        <w:gridCol w:w="1314"/>
        <w:gridCol w:w="1701"/>
        <w:gridCol w:w="1143"/>
        <w:gridCol w:w="1160"/>
        <w:gridCol w:w="1053"/>
      </w:tblGrid>
      <w:tr w:rsidR="00FF30DC" w:rsidRPr="000F368F" w:rsidTr="00AD644E">
        <w:trPr>
          <w:jc w:val="center"/>
        </w:trPr>
        <w:tc>
          <w:tcPr>
            <w:tcW w:w="1979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Наименование</w:t>
            </w:r>
          </w:p>
        </w:tc>
        <w:tc>
          <w:tcPr>
            <w:tcW w:w="1277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Поголовье КРС</w:t>
            </w:r>
          </w:p>
        </w:tc>
        <w:tc>
          <w:tcPr>
            <w:tcW w:w="1314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Поголовье коров</w:t>
            </w:r>
          </w:p>
        </w:tc>
        <w:tc>
          <w:tcPr>
            <w:tcW w:w="1701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Производство молока, тонн</w:t>
            </w:r>
          </w:p>
        </w:tc>
        <w:tc>
          <w:tcPr>
            <w:tcW w:w="1143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Удой на 1 корову, кг</w:t>
            </w:r>
          </w:p>
        </w:tc>
        <w:tc>
          <w:tcPr>
            <w:tcW w:w="1160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Сбор зерна, тонн</w:t>
            </w:r>
          </w:p>
        </w:tc>
        <w:tc>
          <w:tcPr>
            <w:tcW w:w="1053" w:type="dxa"/>
            <w:shd w:val="clear" w:color="auto" w:fill="auto"/>
          </w:tcPr>
          <w:p w:rsidR="00FF30DC" w:rsidRPr="000F368F" w:rsidRDefault="00FF30DC" w:rsidP="00FF30DC">
            <w:pPr>
              <w:keepNext/>
              <w:spacing w:before="120" w:after="120"/>
              <w:ind w:left="29" w:hanging="29"/>
              <w:jc w:val="center"/>
              <w:rPr>
                <w:b/>
                <w:kern w:val="0"/>
                <w:sz w:val="22"/>
                <w:szCs w:val="22"/>
              </w:rPr>
            </w:pPr>
            <w:r w:rsidRPr="000F368F">
              <w:rPr>
                <w:b/>
                <w:kern w:val="0"/>
                <w:sz w:val="22"/>
                <w:szCs w:val="22"/>
              </w:rPr>
              <w:t>Урожайность, ц/га</w:t>
            </w:r>
          </w:p>
        </w:tc>
      </w:tr>
      <w:tr w:rsidR="00AD644E" w:rsidRPr="000F368F" w:rsidTr="007B4F86">
        <w:trPr>
          <w:jc w:val="center"/>
        </w:trPr>
        <w:tc>
          <w:tcPr>
            <w:tcW w:w="1979" w:type="dxa"/>
            <w:shd w:val="clear" w:color="auto" w:fill="auto"/>
          </w:tcPr>
          <w:p w:rsidR="00AD644E" w:rsidRPr="00DF7786" w:rsidRDefault="00AD644E" w:rsidP="00FF30DC">
            <w:pPr>
              <w:keepNext/>
              <w:spacing w:before="120" w:after="120"/>
              <w:jc w:val="both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СПК «Кожильский»</w:t>
            </w:r>
          </w:p>
        </w:tc>
        <w:tc>
          <w:tcPr>
            <w:tcW w:w="1277" w:type="dxa"/>
            <w:shd w:val="clear" w:color="auto" w:fill="auto"/>
          </w:tcPr>
          <w:p w:rsidR="00AD644E" w:rsidRPr="00EB609B" w:rsidRDefault="00AD644E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1662</w:t>
            </w:r>
          </w:p>
        </w:tc>
        <w:tc>
          <w:tcPr>
            <w:tcW w:w="1314" w:type="dxa"/>
            <w:shd w:val="clear" w:color="auto" w:fill="auto"/>
          </w:tcPr>
          <w:p w:rsidR="00AD644E" w:rsidRPr="00EB609B" w:rsidRDefault="00AD644E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735</w:t>
            </w:r>
          </w:p>
        </w:tc>
        <w:tc>
          <w:tcPr>
            <w:tcW w:w="1701" w:type="dxa"/>
            <w:shd w:val="clear" w:color="auto" w:fill="auto"/>
          </w:tcPr>
          <w:p w:rsidR="00AD644E" w:rsidRPr="00EB609B" w:rsidRDefault="00AD644E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3502</w:t>
            </w:r>
          </w:p>
        </w:tc>
        <w:tc>
          <w:tcPr>
            <w:tcW w:w="1143" w:type="dxa"/>
            <w:shd w:val="clear" w:color="auto" w:fill="auto"/>
          </w:tcPr>
          <w:p w:rsidR="00AD644E" w:rsidRPr="00EB609B" w:rsidRDefault="00AD644E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4765</w:t>
            </w:r>
          </w:p>
        </w:tc>
        <w:tc>
          <w:tcPr>
            <w:tcW w:w="1160" w:type="dxa"/>
            <w:shd w:val="clear" w:color="auto" w:fill="auto"/>
          </w:tcPr>
          <w:p w:rsidR="00AD644E" w:rsidRPr="00EB609B" w:rsidRDefault="00AD644E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2621</w:t>
            </w:r>
          </w:p>
        </w:tc>
        <w:tc>
          <w:tcPr>
            <w:tcW w:w="1053" w:type="dxa"/>
            <w:shd w:val="clear" w:color="auto" w:fill="auto"/>
          </w:tcPr>
          <w:p w:rsidR="00AD644E" w:rsidRPr="00EB609B" w:rsidRDefault="00AD644E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22,3</w:t>
            </w:r>
          </w:p>
        </w:tc>
      </w:tr>
      <w:tr w:rsidR="00EB609B" w:rsidRPr="000F368F" w:rsidTr="00AD644E">
        <w:trPr>
          <w:jc w:val="center"/>
        </w:trPr>
        <w:tc>
          <w:tcPr>
            <w:tcW w:w="1979" w:type="dxa"/>
            <w:shd w:val="clear" w:color="auto" w:fill="auto"/>
          </w:tcPr>
          <w:p w:rsidR="00EB609B" w:rsidRDefault="00EB609B" w:rsidP="00FF30DC">
            <w:pPr>
              <w:keepNext/>
              <w:spacing w:before="120" w:after="120"/>
              <w:jc w:val="both"/>
              <w:rPr>
                <w:b/>
                <w:kern w:val="0"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ООО «Чура»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EB609B" w:rsidRPr="00EB609B" w:rsidRDefault="00EB609B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1591</w:t>
            </w:r>
          </w:p>
        </w:tc>
        <w:tc>
          <w:tcPr>
            <w:tcW w:w="1314" w:type="dxa"/>
            <w:shd w:val="clear" w:color="auto" w:fill="auto"/>
            <w:vAlign w:val="bottom"/>
          </w:tcPr>
          <w:p w:rsidR="00EB609B" w:rsidRPr="00EB609B" w:rsidRDefault="00EB609B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575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609B" w:rsidRPr="00EB609B" w:rsidRDefault="00EB609B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5417</w:t>
            </w:r>
          </w:p>
        </w:tc>
        <w:tc>
          <w:tcPr>
            <w:tcW w:w="1143" w:type="dxa"/>
            <w:shd w:val="clear" w:color="auto" w:fill="auto"/>
            <w:vAlign w:val="bottom"/>
          </w:tcPr>
          <w:p w:rsidR="00EB609B" w:rsidRPr="00EB609B" w:rsidRDefault="00EB609B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9832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EB609B" w:rsidRPr="00EB609B" w:rsidRDefault="00EB609B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2832</w:t>
            </w:r>
          </w:p>
        </w:tc>
        <w:tc>
          <w:tcPr>
            <w:tcW w:w="1053" w:type="dxa"/>
            <w:shd w:val="clear" w:color="auto" w:fill="auto"/>
            <w:vAlign w:val="bottom"/>
          </w:tcPr>
          <w:p w:rsidR="00EB609B" w:rsidRPr="00EB609B" w:rsidRDefault="00EB609B" w:rsidP="00EB609B">
            <w:pPr>
              <w:jc w:val="center"/>
              <w:rPr>
                <w:sz w:val="24"/>
                <w:szCs w:val="24"/>
              </w:rPr>
            </w:pPr>
            <w:r w:rsidRPr="00EB609B">
              <w:rPr>
                <w:sz w:val="24"/>
                <w:szCs w:val="24"/>
              </w:rPr>
              <w:t>28,4</w:t>
            </w:r>
          </w:p>
        </w:tc>
      </w:tr>
    </w:tbl>
    <w:p w:rsidR="00FF30DC" w:rsidRDefault="00FF30DC" w:rsidP="00FF30DC">
      <w:pPr>
        <w:ind w:firstLine="709"/>
        <w:contextualSpacing/>
        <w:jc w:val="both"/>
        <w:rPr>
          <w:sz w:val="24"/>
          <w:szCs w:val="24"/>
        </w:rPr>
      </w:pPr>
    </w:p>
    <w:p w:rsidR="00FF30DC" w:rsidRDefault="00FF30DC" w:rsidP="00EB609B">
      <w:pPr>
        <w:ind w:firstLine="709"/>
        <w:contextualSpacing/>
        <w:jc w:val="both"/>
      </w:pPr>
      <w:r w:rsidRPr="008472C5">
        <w:t xml:space="preserve"> </w:t>
      </w:r>
      <w:r>
        <w:rPr>
          <w:sz w:val="24"/>
          <w:szCs w:val="24"/>
        </w:rPr>
        <w:t>По итогам 9 месяцев 20</w:t>
      </w:r>
      <w:r w:rsidR="00EB609B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площадь введенного жилья составила </w:t>
      </w:r>
      <w:r w:rsidR="00EB609B">
        <w:rPr>
          <w:sz w:val="24"/>
          <w:szCs w:val="24"/>
        </w:rPr>
        <w:t>382,0</w:t>
      </w:r>
      <w:r>
        <w:rPr>
          <w:sz w:val="24"/>
          <w:szCs w:val="24"/>
        </w:rPr>
        <w:t xml:space="preserve"> кв.м, </w:t>
      </w:r>
      <w:r w:rsidR="00EB609B">
        <w:rPr>
          <w:sz w:val="24"/>
          <w:szCs w:val="24"/>
        </w:rPr>
        <w:t>темп роста к аналогичному периоду прошлого года составил 44,7%.</w:t>
      </w:r>
      <w:r w:rsidR="00EB609B">
        <w:t xml:space="preserve"> </w:t>
      </w:r>
    </w:p>
    <w:p w:rsidR="00105676" w:rsidRDefault="00105676"/>
    <w:sectPr w:rsidR="00105676" w:rsidSect="00FF30D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DC"/>
    <w:rsid w:val="00105676"/>
    <w:rsid w:val="001178BA"/>
    <w:rsid w:val="00AD644E"/>
    <w:rsid w:val="00C03553"/>
    <w:rsid w:val="00C551CF"/>
    <w:rsid w:val="00EB609B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DC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DC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A9D9-DBD8-4B06-9C0E-C4F9A290F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2020-11-12T19:51:00Z</dcterms:created>
  <dcterms:modified xsi:type="dcterms:W3CDTF">2020-11-13T04:38:00Z</dcterms:modified>
</cp:coreProperties>
</file>